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22"/>
          <w:szCs w:val="22"/>
        </w:rPr>
        <w:t xml:space="preserve">IN THE LABOUR COURT OF SOUTH AFRICA, CAPE TOWN</w:t>
      </w:r>
    </w:p>
    <w:p>
      <w:pPr>
        <w:spacing w:after="60" w:before="0"/>
        <w:jc w:val="center"/>
      </w:pPr>
      <w:r>
        <w:rPr>
          <w:rFonts w:ascii="Arial" w:cs="Arial" w:eastAsia="Arial" w:hAnsi="Arial"/>
          <w:sz w:val="22"/>
          <w:szCs w:val="22"/>
        </w:rPr>
        <w:t xml:space="preserve">(Held at Cape Town)</w:t>
      </w:r>
    </w:p>
    <w:p>
      <w:pPr>
        <w:spacing w:after="60" w:before="60"/>
        <w:jc w:val="center"/>
      </w:pPr>
      <w:r>
        <w:rPr>
          <w:rFonts w:ascii="Arial" w:cs="Arial" w:eastAsia="Arial" w:hAnsi="Arial"/>
          <w:sz w:val="22"/>
          <w:szCs w:val="22"/>
        </w:rPr>
        <w:t xml:space="preserve">Case No: _______________________________</w:t>
      </w:r>
    </w:p>
    <w:p>
      <w:pPr>
        <w:pBdr>
          <w:bottom w:val="single" w:color="2E4057" w:sz="4" w:space="1"/>
        </w:pBdr>
        <w:spacing w:after="120" w:before="120"/>
      </w:pPr>
      <w:r>
        <w:t xml:space="preserve"/>
      </w:r>
    </w:p>
    <w:p>
      <w:pPr>
        <w:spacing w:after="60" w:before="60"/>
        <w:jc w:val="center"/>
      </w:pPr>
      <w:r>
        <w:rPr>
          <w:rFonts w:ascii="Arial" w:cs="Arial" w:eastAsia="Arial" w:hAnsi="Arial"/>
          <w:i/>
          <w:iCs/>
          <w:sz w:val="22"/>
          <w:szCs w:val="22"/>
        </w:rPr>
        <w:t xml:space="preserve">In the matter between:</w:t>
      </w:r>
    </w:p>
    <w:p>
      <w:pPr>
        <w:spacing w:after="60" w:before="60"/>
        <w:jc w:val="center"/>
      </w:pPr>
      <w:r>
        <w:rPr>
          <w:rFonts w:ascii="Arial" w:cs="Arial" w:eastAsia="Arial" w:hAnsi="Arial"/>
          <w:b/>
          <w:bCs/>
          <w:sz w:val="22"/>
          <w:szCs w:val="22"/>
        </w:rPr>
        <w:t xml:space="preserve">WILBUR WILLIAM MATTHEE</w:t>
      </w:r>
      <w:r>
        <w:rPr>
          <w:rFonts w:ascii="Arial" w:cs="Arial" w:eastAsia="Arial" w:hAnsi="Arial"/>
          <w:sz w:val="22"/>
          <w:szCs w:val="22"/>
        </w:rPr>
        <w:t xml:space="preserve">    Applicant</w:t>
      </w:r>
    </w:p>
    <w:p>
      <w:pPr>
        <w:spacing w:after="60" w:before="60"/>
        <w:jc w:val="center"/>
      </w:pPr>
      <w:r>
        <w:rPr>
          <w:rFonts w:ascii="Arial" w:cs="Arial" w:eastAsia="Arial" w:hAnsi="Arial"/>
          <w:sz w:val="22"/>
          <w:szCs w:val="22"/>
        </w:rPr>
        <w:t xml:space="preserve">and</w:t>
      </w:r>
    </w:p>
    <w:p>
      <w:pPr>
        <w:spacing w:after="60" w:before="60"/>
        <w:jc w:val="center"/>
      </w:pPr>
      <w:r>
        <w:rPr>
          <w:rFonts w:ascii="Arial" w:cs="Arial" w:eastAsia="Arial" w:hAnsi="Arial"/>
          <w:b/>
          <w:bCs/>
          <w:sz w:val="22"/>
          <w:szCs w:val="22"/>
        </w:rPr>
        <w:t xml:space="preserve">AFROCENTRIC HEALTH (RF) (PTY) LTD</w:t>
      </w:r>
      <w:r>
        <w:rPr>
          <w:rFonts w:ascii="Arial" w:cs="Arial" w:eastAsia="Arial" w:hAnsi="Arial"/>
          <w:sz w:val="22"/>
          <w:szCs w:val="22"/>
        </w:rPr>
        <w:t xml:space="preserve">    First Respondent</w:t>
      </w:r>
    </w:p>
    <w:p>
      <w:pPr>
        <w:spacing w:after="60" w:before="20"/>
        <w:jc w:val="center"/>
      </w:pPr>
      <w:r>
        <w:rPr>
          <w:rFonts w:ascii="Arial" w:cs="Arial" w:eastAsia="Arial" w:hAnsi="Arial"/>
          <w:i/>
          <w:iCs/>
          <w:sz w:val="21"/>
          <w:szCs w:val="21"/>
        </w:rPr>
        <w:t xml:space="preserve">(Registration Number: 1996/009540/07)</w:t>
      </w:r>
    </w:p>
    <w:p>
      <w:pPr>
        <w:spacing w:after="60" w:before="60"/>
        <w:jc w:val="center"/>
      </w:pPr>
      <w:r>
        <w:rPr>
          <w:rFonts w:ascii="Arial" w:cs="Arial" w:eastAsia="Arial" w:hAnsi="Arial"/>
          <w:sz w:val="22"/>
          <w:szCs w:val="22"/>
        </w:rPr>
        <w:t xml:space="preserve">and</w:t>
      </w:r>
    </w:p>
    <w:p>
      <w:pPr>
        <w:spacing w:after="60" w:before="60"/>
        <w:jc w:val="center"/>
      </w:pPr>
      <w:r>
        <w:rPr>
          <w:rFonts w:ascii="Arial" w:cs="Arial" w:eastAsia="Arial" w:hAnsi="Arial"/>
          <w:b/>
          <w:bCs/>
          <w:sz w:val="22"/>
          <w:szCs w:val="22"/>
        </w:rPr>
        <w:t xml:space="preserve">MEDSCHEME HOLDINGS (PTY) LTD</w:t>
      </w:r>
      <w:r>
        <w:rPr>
          <w:rFonts w:ascii="Arial" w:cs="Arial" w:eastAsia="Arial" w:hAnsi="Arial"/>
          <w:sz w:val="22"/>
          <w:szCs w:val="22"/>
        </w:rPr>
        <w:t xml:space="preserve">    Second Respondent</w:t>
      </w:r>
    </w:p>
    <w:p>
      <w:pPr>
        <w:spacing w:after="120" w:before="20"/>
        <w:jc w:val="center"/>
      </w:pPr>
      <w:r>
        <w:rPr>
          <w:rFonts w:ascii="Arial" w:cs="Arial" w:eastAsia="Arial" w:hAnsi="Arial"/>
          <w:i/>
          <w:iCs/>
          <w:sz w:val="21"/>
          <w:szCs w:val="21"/>
        </w:rPr>
        <w:t xml:space="preserve">(Registration Number: 1970/015014/07)</w:t>
      </w:r>
    </w:p>
    <w:p>
      <w:pPr>
        <w:pBdr>
          <w:bottom w:val="single" w:color="2E4057" w:sz="4" w:space="1"/>
        </w:pBdr>
        <w:spacing w:after="120" w:before="120"/>
      </w:pPr>
      <w:r>
        <w:t xml:space="preserve"/>
      </w:r>
    </w:p>
    <w:p>
      <w:pPr>
        <w:spacing w:after="60" w:before="120"/>
        <w:jc w:val="center"/>
      </w:pPr>
      <w:r>
        <w:rPr>
          <w:rFonts w:ascii="Arial" w:cs="Arial" w:eastAsia="Arial" w:hAnsi="Arial"/>
          <w:b/>
          <w:bCs/>
          <w:sz w:val="26"/>
          <w:szCs w:val="26"/>
          <w:u w:val="single"/>
        </w:rPr>
        <w:t xml:space="preserve">AFFIDAVIT OF SERVICE</w:t>
      </w:r>
    </w:p>
    <w:p>
      <w:pPr>
        <w:spacing w:after="120" w:before="20"/>
        <w:jc w:val="center"/>
      </w:pPr>
      <w:r>
        <w:rPr>
          <w:rFonts w:ascii="Arial" w:cs="Arial" w:eastAsia="Arial" w:hAnsi="Arial"/>
          <w:i/>
          <w:iCs/>
          <w:sz w:val="22"/>
          <w:szCs w:val="22"/>
        </w:rPr>
        <w:t xml:space="preserve">(Rule 7 of the Labour Court Rules — Email Service)</w:t>
      </w:r>
    </w:p>
    <w:p>
      <w:pPr>
        <w:pBdr>
          <w:bottom w:val="single" w:color="2E4057" w:sz="4" w:space="1"/>
        </w:pBdr>
        <w:spacing w:after="120" w:before="120"/>
      </w:pPr>
      <w:r>
        <w:t xml:space="preserve"/>
      </w:r>
    </w:p>
    <w:p>
      <w:pPr>
        <w:spacing w:after="120" w:before="280"/>
      </w:pPr>
      <w:r>
        <w:rPr>
          <w:rFonts w:ascii="Arial" w:cs="Arial" w:eastAsia="Arial" w:hAnsi="Arial"/>
          <w:b/>
          <w:bCs/>
          <w:sz w:val="26"/>
          <w:szCs w:val="26"/>
          <w:u w:val="single"/>
        </w:rPr>
        <w:t xml:space="preserve">1.  INTRODUCTION AND CAPACITY</w:t>
      </w:r>
    </w:p>
    <w:p>
      <w:pPr>
        <w:spacing w:after="80" w:before="80"/>
        <w:jc w:val="both"/>
      </w:pPr>
      <w:r>
        <w:rPr>
          <w:rFonts w:ascii="Arial" w:cs="Arial" w:eastAsia="Arial" w:hAnsi="Arial"/>
          <w:b/>
          <w:bCs/>
          <w:sz w:val="22"/>
          <w:szCs w:val="22"/>
        </w:rPr>
        <w:t xml:space="preserve">1.1  </w:t>
      </w:r>
      <w:r>
        <w:rPr>
          <w:rFonts w:ascii="Arial" w:cs="Arial" w:eastAsia="Arial" w:hAnsi="Arial"/>
          <w:sz w:val="22"/>
          <w:szCs w:val="22"/>
        </w:rPr>
        <w:t xml:space="preserve">I am the Applicant in the above-captioned proceedings, acting in my own capacity as a self-represented litigant. I am duly authorised to make this affidavit. The facts herein are within my personal knowledge unless otherwise stated, and are true and correct to the best of my knowledge and belief.</w:t>
      </w:r>
    </w:p>
    <w:p>
      <w:pPr>
        <w:spacing w:after="80" w:before="80"/>
        <w:jc w:val="both"/>
      </w:pPr>
      <w:r>
        <w:rPr>
          <w:rFonts w:ascii="Arial" w:cs="Arial" w:eastAsia="Arial" w:hAnsi="Arial"/>
          <w:b/>
          <w:bCs/>
          <w:sz w:val="22"/>
          <w:szCs w:val="22"/>
        </w:rPr>
        <w:t xml:space="preserve">1.2  </w:t>
      </w:r>
      <w:r>
        <w:rPr>
          <w:rFonts w:ascii="Arial" w:cs="Arial" w:eastAsia="Arial" w:hAnsi="Arial"/>
          <w:sz w:val="22"/>
          <w:szCs w:val="22"/>
        </w:rPr>
        <w:t xml:space="preserve">I make this affidavit in compliance with Rule 7 of the Rules for the Conduct of Proceedings before the Labour Court (GN 1665 of 14 October 2011, as amended), to confirm the service of the Statement of Claim on the First and Second Respondents.</w:t>
      </w:r>
    </w:p>
    <w:p>
      <w:pPr>
        <w:spacing w:after="120" w:before="280"/>
      </w:pPr>
      <w:r>
        <w:rPr>
          <w:rFonts w:ascii="Arial" w:cs="Arial" w:eastAsia="Arial" w:hAnsi="Arial"/>
          <w:b/>
          <w:bCs/>
          <w:sz w:val="26"/>
          <w:szCs w:val="26"/>
          <w:u w:val="single"/>
        </w:rPr>
        <w:t xml:space="preserve">2.  THE PROCEEDINGS</w:t>
      </w:r>
    </w:p>
    <w:p>
      <w:pPr>
        <w:spacing w:after="80" w:before="80"/>
        <w:jc w:val="both"/>
      </w:pPr>
      <w:r>
        <w:rPr>
          <w:rFonts w:ascii="Arial" w:cs="Arial" w:eastAsia="Arial" w:hAnsi="Arial"/>
          <w:b/>
          <w:bCs/>
          <w:sz w:val="22"/>
          <w:szCs w:val="22"/>
        </w:rPr>
        <w:t xml:space="preserve">2.1  </w:t>
      </w:r>
      <w:r>
        <w:rPr>
          <w:rFonts w:ascii="Arial" w:cs="Arial" w:eastAsia="Arial" w:hAnsi="Arial"/>
          <w:sz w:val="22"/>
          <w:szCs w:val="22"/>
        </w:rPr>
        <w:t xml:space="preserve">This Statement of Claim was filed with the Registrar of the Labour Court, Cape Town, on or before 8 April 2026, within the 90-day prescription period prescribed by section 191(11)(a)(i) of the Labour Relations Act 66 of 1995 ("LRA"), calculated from 9 January 2026 (date of issue of the CCMA Certificates of Non-Resolution in Cases WECT23564-25 and WECT24486-25).</w:t>
      </w:r>
    </w:p>
    <w:p>
      <w:pPr>
        <w:spacing w:after="80" w:before="80"/>
        <w:jc w:val="both"/>
      </w:pPr>
      <w:r>
        <w:rPr>
          <w:rFonts w:ascii="Arial" w:cs="Arial" w:eastAsia="Arial" w:hAnsi="Arial"/>
          <w:b/>
          <w:bCs/>
          <w:sz w:val="22"/>
          <w:szCs w:val="22"/>
        </w:rPr>
        <w:t xml:space="preserve">2.2  </w:t>
      </w:r>
      <w:r>
        <w:rPr>
          <w:rFonts w:ascii="Arial" w:cs="Arial" w:eastAsia="Arial" w:hAnsi="Arial"/>
          <w:sz w:val="22"/>
          <w:szCs w:val="22"/>
        </w:rPr>
        <w:t xml:space="preserve">The Statement of Claim is filed in respect of the following causes of action:</w:t>
      </w:r>
    </w:p>
    <w:p>
      <w:pPr>
        <w:spacing w:after="60" w:before="60"/>
        <w:ind w:left="720"/>
        <w:jc w:val="both"/>
      </w:pPr>
      <w:r>
        <w:rPr>
          <w:rFonts w:ascii="Arial" w:cs="Arial" w:eastAsia="Arial" w:hAnsi="Arial"/>
          <w:sz w:val="22"/>
          <w:szCs w:val="22"/>
        </w:rPr>
        <w:t xml:space="preserve">(a) Automatically unfair constructive dismissal under sections 186(1)(e) and 187(1)(h) of the LRA (retaliation for protected disclosures);</w:t>
      </w:r>
    </w:p>
    <w:p>
      <w:pPr>
        <w:spacing w:after="60" w:before="60"/>
        <w:ind w:left="720"/>
        <w:jc w:val="both"/>
      </w:pPr>
      <w:r>
        <w:rPr>
          <w:rFonts w:ascii="Arial" w:cs="Arial" w:eastAsia="Arial" w:hAnsi="Arial"/>
          <w:sz w:val="22"/>
          <w:szCs w:val="22"/>
        </w:rPr>
        <w:t xml:space="preserve">(b) Unfair discrimination and harassment under sections 6(1), 6(3), and 60 of the Employment Equity Act 55 of 1998 ("EEA");</w:t>
      </w:r>
    </w:p>
    <w:p>
      <w:pPr>
        <w:spacing w:after="60" w:before="60"/>
        <w:ind w:left="720"/>
        <w:jc w:val="both"/>
      </w:pPr>
      <w:r>
        <w:rPr>
          <w:rFonts w:ascii="Arial" w:cs="Arial" w:eastAsia="Arial" w:hAnsi="Arial"/>
          <w:sz w:val="22"/>
          <w:szCs w:val="22"/>
        </w:rPr>
        <w:t xml:space="preserve">(c) Occupational detriment for making protected disclosures under sections 3 and 4 of the Protected Disclosures Act 26 of 2000 ("PDA");</w:t>
      </w:r>
    </w:p>
    <w:p>
      <w:pPr>
        <w:spacing w:after="60" w:before="60"/>
        <w:ind w:left="720"/>
        <w:jc w:val="both"/>
      </w:pPr>
      <w:r>
        <w:rPr>
          <w:rFonts w:ascii="Arial" w:cs="Arial" w:eastAsia="Arial" w:hAnsi="Arial"/>
          <w:sz w:val="22"/>
          <w:szCs w:val="22"/>
        </w:rPr>
        <w:t xml:space="preserve">(d) Contravention of section 34(2) of the Basic Conditions of Employment Act 75 of 1997 ("BCEA") — unlawful salary deduction exceeding the statutory 25% cap;</w:t>
      </w:r>
    </w:p>
    <w:p>
      <w:pPr>
        <w:spacing w:after="60" w:before="60"/>
        <w:ind w:left="720"/>
        <w:jc w:val="both"/>
      </w:pPr>
      <w:r>
        <w:rPr>
          <w:rFonts w:ascii="Arial" w:cs="Arial" w:eastAsia="Arial" w:hAnsi="Arial"/>
          <w:sz w:val="22"/>
          <w:szCs w:val="22"/>
        </w:rPr>
        <w:t xml:space="preserve">(e) Contravention of section 42 of the BCEA — failure to provide a true Certificate of Service;</w:t>
      </w:r>
    </w:p>
    <w:p>
      <w:pPr>
        <w:spacing w:after="60" w:before="60"/>
        <w:ind w:left="720"/>
        <w:jc w:val="both"/>
      </w:pPr>
      <w:r>
        <w:rPr>
          <w:rFonts w:ascii="Arial" w:cs="Arial" w:eastAsia="Arial" w:hAnsi="Arial"/>
          <w:sz w:val="22"/>
          <w:szCs w:val="22"/>
        </w:rPr>
        <w:t xml:space="preserve">(f) Contravention of section 5(1) of the Unemployment Insurance Contributions Act 4 of 2002; and</w:t>
      </w:r>
    </w:p>
    <w:p>
      <w:pPr>
        <w:spacing w:after="60" w:before="60"/>
        <w:ind w:left="720"/>
        <w:jc w:val="both"/>
      </w:pPr>
      <w:r>
        <w:rPr>
          <w:rFonts w:ascii="Arial" w:cs="Arial" w:eastAsia="Arial" w:hAnsi="Arial"/>
          <w:sz w:val="22"/>
          <w:szCs w:val="22"/>
        </w:rPr>
        <w:t xml:space="preserve">(g) Misappropriation of intellectual property and copyright infringement under section 23 of the Copyright Act 98 of 1978 — CPD programme developed by the Applicant in April 2025 and implemented by the Second Respondent without attribution in October 2025.</w:t>
      </w:r>
    </w:p>
    <w:p>
      <w:pPr>
        <w:spacing w:after="120" w:before="280"/>
      </w:pPr>
      <w:r>
        <w:rPr>
          <w:rFonts w:ascii="Arial" w:cs="Arial" w:eastAsia="Arial" w:hAnsi="Arial"/>
          <w:b/>
          <w:bCs/>
          <w:sz w:val="26"/>
          <w:szCs w:val="26"/>
          <w:u w:val="single"/>
        </w:rPr>
        <w:t xml:space="preserve">3.  AUTHORISED SERVICE ADDRESS OF RESPONDENTS</w:t>
      </w:r>
    </w:p>
    <w:p>
      <w:pPr>
        <w:spacing w:after="80" w:before="80"/>
        <w:jc w:val="both"/>
      </w:pPr>
      <w:r>
        <w:rPr>
          <w:rFonts w:ascii="Arial" w:cs="Arial" w:eastAsia="Arial" w:hAnsi="Arial"/>
          <w:b/>
          <w:bCs/>
          <w:sz w:val="22"/>
          <w:szCs w:val="22"/>
        </w:rPr>
        <w:t xml:space="preserve">3.1  </w:t>
      </w:r>
      <w:r>
        <w:rPr>
          <w:rFonts w:ascii="Arial" w:cs="Arial" w:eastAsia="Arial" w:hAnsi="Arial"/>
          <w:sz w:val="22"/>
          <w:szCs w:val="22"/>
        </w:rPr>
        <w:t xml:space="preserve">The First Respondent's authorised email address for service of documents in these proceedings is:</w:t>
      </w:r>
    </w:p>
    <w:p>
      <w:pPr>
        <w:spacing w:after="100" w:before="100"/>
        <w:jc w:val="center"/>
      </w:pPr>
      <w:r>
        <w:rPr>
          <w:rFonts w:ascii="Arial" w:cs="Arial" w:eastAsia="Arial" w:hAnsi="Arial"/>
          <w:b/>
          <w:bCs/>
          <w:sz w:val="22"/>
          <w:szCs w:val="22"/>
        </w:rPr>
        <w:t xml:space="preserve">IR@afrocentrichealth.com</w:t>
      </w:r>
    </w:p>
    <w:p>
      <w:pPr>
        <w:spacing w:after="80" w:before="80"/>
        <w:jc w:val="both"/>
      </w:pPr>
      <w:r>
        <w:rPr>
          <w:rFonts w:ascii="Arial" w:cs="Arial" w:eastAsia="Arial" w:hAnsi="Arial"/>
          <w:b/>
          <w:bCs/>
          <w:sz w:val="22"/>
          <w:szCs w:val="22"/>
        </w:rPr>
        <w:t xml:space="preserve">3.2  </w:t>
      </w:r>
      <w:r>
        <w:rPr>
          <w:rFonts w:ascii="Arial" w:cs="Arial" w:eastAsia="Arial" w:hAnsi="Arial"/>
          <w:sz w:val="22"/>
          <w:szCs w:val="22"/>
        </w:rPr>
        <w:t xml:space="preserve">This email address was expressly stated by the Respondent's authorised representative, Mr Xolile Vincent Manyati (Senior Employee Relations Specialist, AfroCentric Health (Pty) Ltd), in the Respondent's Notice of Opposition of Condonation Application filed in CCMA Case WECT23564-25 on 10 December 2025 and signed at Johannesburg. A copy of the relevant page confirming the authorised service address is attached hereto as ANNEXURE "A".</w:t>
      </w:r>
    </w:p>
    <w:p>
      <w:pPr>
        <w:spacing w:after="80" w:before="80"/>
        <w:jc w:val="both"/>
      </w:pPr>
      <w:r>
        <w:rPr>
          <w:rFonts w:ascii="Arial" w:cs="Arial" w:eastAsia="Arial" w:hAnsi="Arial"/>
          <w:b/>
          <w:bCs/>
          <w:sz w:val="22"/>
          <w:szCs w:val="22"/>
        </w:rPr>
        <w:t xml:space="preserve">3.3  </w:t>
      </w:r>
      <w:r>
        <w:rPr>
          <w:rFonts w:ascii="Arial" w:cs="Arial" w:eastAsia="Arial" w:hAnsi="Arial"/>
          <w:sz w:val="22"/>
          <w:szCs w:val="22"/>
        </w:rPr>
        <w:t xml:space="preserve">Service on the First Respondent at the above address constitutes valid service on the Second Respondent, Medscheme Holdings (Pty) Ltd, as the Second Respondent is a wholly-owned subsidiary of the First Respondent and shares the same employment relations infrastructure and legal representative.</w:t>
      </w:r>
    </w:p>
    <w:p>
      <w:pPr>
        <w:spacing w:after="120" w:before="280"/>
      </w:pPr>
      <w:r>
        <w:rPr>
          <w:rFonts w:ascii="Arial" w:cs="Arial" w:eastAsia="Arial" w:hAnsi="Arial"/>
          <w:b/>
          <w:bCs/>
          <w:sz w:val="26"/>
          <w:szCs w:val="26"/>
          <w:u w:val="single"/>
        </w:rPr>
        <w:t xml:space="preserve">4.  SERVICE EFFECTED</w:t>
      </w:r>
    </w:p>
    <w:p>
      <w:pPr>
        <w:spacing w:after="80" w:before="80"/>
        <w:jc w:val="both"/>
      </w:pPr>
      <w:r>
        <w:rPr>
          <w:rFonts w:ascii="Arial" w:cs="Arial" w:eastAsia="Arial" w:hAnsi="Arial"/>
          <w:b/>
          <w:bCs/>
          <w:sz w:val="22"/>
          <w:szCs w:val="22"/>
        </w:rPr>
        <w:t xml:space="preserve">4.1  </w:t>
      </w:r>
      <w:r>
        <w:rPr>
          <w:rFonts w:ascii="Arial" w:cs="Arial" w:eastAsia="Arial" w:hAnsi="Arial"/>
          <w:sz w:val="22"/>
          <w:szCs w:val="22"/>
        </w:rPr>
        <w:t xml:space="preserve">On 8 April 2026 I dispatched by email to the address IR@afrocentrichealth.com the following documents constituting the Statement of Claim and supporting papers in the above proceedings:</w:t>
      </w:r>
    </w:p>
    <w:p>
      <w:pPr>
        <w:spacing w:after="60" w:before="60"/>
        <w:ind w:left="720"/>
        <w:jc w:val="both"/>
      </w:pPr>
      <w:r>
        <w:rPr>
          <w:rFonts w:ascii="Arial" w:cs="Arial" w:eastAsia="Arial" w:hAnsi="Arial"/>
          <w:sz w:val="22"/>
          <w:szCs w:val="22"/>
        </w:rPr>
        <w:t xml:space="preserve">(a) Statement of Claim (Rule 6 of the Labour Court Rules) — Matthee v AfroCentric Health (RF) (Pty) Ltd &amp; Medscheme Holdings (Pty) Ltd (constructive dismissal / EEA / PDA / BCEA / copyright);</w:t>
      </w:r>
    </w:p>
    <w:p>
      <w:pPr>
        <w:spacing w:after="60" w:before="60"/>
        <w:ind w:left="720"/>
        <w:jc w:val="both"/>
      </w:pPr>
      <w:r>
        <w:rPr>
          <w:rFonts w:ascii="Arial" w:cs="Arial" w:eastAsia="Arial" w:hAnsi="Arial"/>
          <w:sz w:val="22"/>
          <w:szCs w:val="22"/>
        </w:rPr>
        <w:t xml:space="preserve">(b) The complete bundle of Annexures "A" through "Z" and "AA" through "EE" as listed in the Schedule of Annexures forming part of the Statement of Claim; and</w:t>
      </w:r>
    </w:p>
    <w:p>
      <w:pPr>
        <w:spacing w:after="60" w:before="60"/>
        <w:ind w:left="720"/>
        <w:jc w:val="both"/>
      </w:pPr>
      <w:r>
        <w:rPr>
          <w:rFonts w:ascii="Arial" w:cs="Arial" w:eastAsia="Arial" w:hAnsi="Arial"/>
          <w:sz w:val="22"/>
          <w:szCs w:val="22"/>
        </w:rPr>
        <w:t xml:space="preserve">(c) This Affidavit of Service together with Annexures "A" through "E" hereto.</w:t>
      </w:r>
    </w:p>
    <w:p>
      <w:pPr>
        <w:spacing w:after="80" w:before="80"/>
        <w:jc w:val="both"/>
      </w:pPr>
      <w:r>
        <w:rPr>
          <w:rFonts w:ascii="Arial" w:cs="Arial" w:eastAsia="Arial" w:hAnsi="Arial"/>
          <w:b/>
          <w:bCs/>
          <w:sz w:val="22"/>
          <w:szCs w:val="22"/>
        </w:rPr>
        <w:t xml:space="preserve">4.2  </w:t>
      </w:r>
      <w:r>
        <w:rPr>
          <w:rFonts w:ascii="Arial" w:cs="Arial" w:eastAsia="Arial" w:hAnsi="Arial"/>
          <w:sz w:val="22"/>
          <w:szCs w:val="22"/>
        </w:rPr>
        <w:t xml:space="preserve">The email was sent from info@ethichawks.co.za. A copy of the email transmission record and delivery confirmation is attached hereto as ANNEXURE "B".</w:t>
      </w:r>
    </w:p>
    <w:p>
      <w:pPr>
        <w:spacing w:after="120" w:before="280"/>
      </w:pPr>
      <w:r>
        <w:rPr>
          <w:rFonts w:ascii="Arial" w:cs="Arial" w:eastAsia="Arial" w:hAnsi="Arial"/>
          <w:b/>
          <w:bCs/>
          <w:sz w:val="26"/>
          <w:szCs w:val="26"/>
          <w:u w:val="single"/>
        </w:rPr>
        <w:t xml:space="preserve">5.  CONFIRMATION OF SERVICE</w:t>
      </w:r>
    </w:p>
    <w:p>
      <w:pPr>
        <w:spacing w:after="80" w:before="80"/>
        <w:jc w:val="both"/>
      </w:pPr>
      <w:r>
        <w:rPr>
          <w:rFonts w:ascii="Arial" w:cs="Arial" w:eastAsia="Arial" w:hAnsi="Arial"/>
          <w:b/>
          <w:bCs/>
          <w:sz w:val="22"/>
          <w:szCs w:val="22"/>
        </w:rPr>
        <w:t xml:space="preserve">5.1  </w:t>
      </w:r>
      <w:r>
        <w:rPr>
          <w:rFonts w:ascii="Arial" w:cs="Arial" w:eastAsia="Arial" w:hAnsi="Arial"/>
          <w:sz w:val="22"/>
          <w:szCs w:val="22"/>
        </w:rPr>
        <w:t xml:space="preserve">Service was effected by electronic mail to the address expressly designated by the Respondent, which constitutes valid service in terms of Rule 7(2)(b) of the Labour Court Rules.</w:t>
      </w:r>
    </w:p>
    <w:p>
      <w:pPr>
        <w:spacing w:after="80" w:before="80"/>
        <w:jc w:val="both"/>
      </w:pPr>
      <w:r>
        <w:rPr>
          <w:rFonts w:ascii="Arial" w:cs="Arial" w:eastAsia="Arial" w:hAnsi="Arial"/>
          <w:b/>
          <w:bCs/>
          <w:sz w:val="22"/>
          <w:szCs w:val="22"/>
        </w:rPr>
        <w:t xml:space="preserve">5.2  </w:t>
      </w:r>
      <w:r>
        <w:rPr>
          <w:rFonts w:ascii="Arial" w:cs="Arial" w:eastAsia="Arial" w:hAnsi="Arial"/>
          <w:sz w:val="22"/>
          <w:szCs w:val="22"/>
        </w:rPr>
        <w:t xml:space="preserve">I confirm that as of the date of this affidavit, the First and Second Respondents have been duly served with the Statement of Claim and all annexures in the above proceedings, and are properly on notice of the relief sought.</w:t>
      </w:r>
    </w:p>
    <w:p>
      <w:pPr>
        <w:spacing w:after="80" w:before="80"/>
        <w:jc w:val="both"/>
      </w:pPr>
      <w:r>
        <w:rPr>
          <w:rFonts w:ascii="Arial" w:cs="Arial" w:eastAsia="Arial" w:hAnsi="Arial"/>
          <w:b/>
          <w:bCs/>
          <w:sz w:val="22"/>
          <w:szCs w:val="22"/>
        </w:rPr>
        <w:t xml:space="preserve">5.3  </w:t>
      </w:r>
      <w:r>
        <w:rPr>
          <w:rFonts w:ascii="Arial" w:cs="Arial" w:eastAsia="Arial" w:hAnsi="Arial"/>
          <w:sz w:val="22"/>
          <w:szCs w:val="22"/>
        </w:rPr>
        <w:t xml:space="preserve">The filing deadline in terms of section 191(11)(a)(i) of the LRA is 9 April 2026. Service and filing was effected on 8 April 2026, which is within the prescribed period.</w:t>
      </w:r>
    </w:p>
    <w:p>
      <w:pPr>
        <w:pBdr>
          <w:bottom w:val="single" w:color="2E4057" w:sz="4" w:space="1"/>
        </w:pBdr>
        <w:spacing w:after="120" w:before="120"/>
      </w:pPr>
      <w:r>
        <w:t xml:space="preserve"/>
      </w:r>
    </w:p>
    <w:p>
      <w:pPr>
        <w:spacing w:after="120" w:before="280"/>
      </w:pPr>
      <w:r>
        <w:rPr>
          <w:rFonts w:ascii="Arial" w:cs="Arial" w:eastAsia="Arial" w:hAnsi="Arial"/>
          <w:b/>
          <w:bCs/>
          <w:sz w:val="26"/>
          <w:szCs w:val="26"/>
          <w:u w:val="single"/>
        </w:rPr>
        <w:t xml:space="preserve">6.  ADDITIONAL ANNEXURES — MATERIAL CONTEXT AND PROFESSIONAL MANDATE</w:t>
      </w:r>
    </w:p>
    <w:p>
      <w:pPr>
        <w:spacing w:after="80" w:before="80"/>
        <w:jc w:val="both"/>
      </w:pPr>
      <w:r>
        <w:rPr>
          <w:rFonts w:ascii="Arial" w:cs="Arial" w:eastAsia="Arial" w:hAnsi="Arial"/>
          <w:b/>
          <w:bCs/>
          <w:sz w:val="22"/>
          <w:szCs w:val="22"/>
        </w:rPr>
        <w:t xml:space="preserve">6.1  </w:t>
      </w:r>
      <w:r>
        <w:rPr>
          <w:rFonts w:ascii="Arial" w:cs="Arial" w:eastAsia="Arial" w:hAnsi="Arial"/>
          <w:sz w:val="22"/>
          <w:szCs w:val="22"/>
        </w:rPr>
        <w:t xml:space="preserve">In addition to the core annexures to the Statement of Claim, I submit three further documents as Annexures "C", "D", and "E" hereto. These documents are placed on the formal record of this Court for the following distinct and cumulative purposes:</w:t>
      </w:r>
    </w:p>
    <w:p>
      <w:pPr>
        <w:spacing w:after="60" w:before="60"/>
        <w:ind w:left="720"/>
        <w:jc w:val="both"/>
      </w:pPr>
      <w:r>
        <w:rPr>
          <w:rFonts w:ascii="Arial" w:cs="Arial" w:eastAsia="Arial" w:hAnsi="Arial"/>
          <w:sz w:val="22"/>
          <w:szCs w:val="22"/>
        </w:rPr>
        <w:t xml:space="preserve">(i) to establish the statutory professional mandate that underpins every act of disclosure attributed to the Applicant;</w:t>
      </w:r>
    </w:p>
    <w:p>
      <w:pPr>
        <w:spacing w:after="60" w:before="60"/>
        <w:ind w:left="720"/>
        <w:jc w:val="both"/>
      </w:pPr>
      <w:r>
        <w:rPr>
          <w:rFonts w:ascii="Arial" w:cs="Arial" w:eastAsia="Arial" w:hAnsi="Arial"/>
          <w:sz w:val="22"/>
          <w:szCs w:val="22"/>
        </w:rPr>
        <w:t xml:space="preserve">(ii) to document the humanitarian consequences of the Respondents' conduct and the failure of every downstream regulatory body to intervene; and</w:t>
      </w:r>
    </w:p>
    <w:p>
      <w:pPr>
        <w:spacing w:after="60" w:before="60"/>
        <w:ind w:left="720"/>
        <w:jc w:val="both"/>
      </w:pPr>
      <w:r>
        <w:rPr>
          <w:rFonts w:ascii="Arial" w:cs="Arial" w:eastAsia="Arial" w:hAnsi="Arial"/>
          <w:sz w:val="22"/>
          <w:szCs w:val="22"/>
        </w:rPr>
        <w:t xml:space="preserve">(iii) to demonstrate that the Applicant's disclosures were not the acts of a disgruntled employee, but the textbook fulfilment of a National Qualifications Framework obligation, for which the Applicant was deliberately and systematically destroyed.</w:t>
      </w:r>
    </w:p>
    <w:p>
      <w:pPr>
        <w:spacing w:after="60" w:before="140"/>
      </w:pPr>
      <w:r>
        <w:rPr>
          <w:rFonts w:ascii="Arial" w:cs="Arial" w:eastAsia="Arial" w:hAnsi="Arial"/>
          <w:b/>
          <w:bCs/>
          <w:sz w:val="22"/>
          <w:szCs w:val="22"/>
          <w:u w:val="single"/>
        </w:rPr>
        <w:t xml:space="preserve">ANNEXURE "C" — SAHRC Final Comprehensive Update (13 March 2026)</w:t>
      </w:r>
    </w:p>
    <w:p>
      <w:pPr>
        <w:spacing w:after="80" w:before="80"/>
        <w:jc w:val="both"/>
      </w:pPr>
      <w:r>
        <w:rPr>
          <w:rFonts w:ascii="Arial" w:cs="Arial" w:eastAsia="Arial" w:hAnsi="Arial"/>
          <w:b/>
          <w:bCs/>
          <w:sz w:val="22"/>
          <w:szCs w:val="22"/>
        </w:rPr>
        <w:t xml:space="preserve">6.2  </w:t>
      </w:r>
      <w:r>
        <w:rPr>
          <w:rFonts w:ascii="Arial" w:cs="Arial" w:eastAsia="Arial" w:hAnsi="Arial"/>
          <w:sz w:val="22"/>
          <w:szCs w:val="22"/>
        </w:rPr>
        <w:t xml:space="preserve">Attached hereto as Annexure "C" is the Applicant's Final Comprehensive Update to the South African Human Rights Commission (Western Cape Provincial Office), dated 13 March 2026, filed in the context of the concurrent SAHRC file involving the Respondents' conduct.</w:t>
      </w:r>
    </w:p>
    <w:p>
      <w:pPr>
        <w:spacing w:after="80" w:before="80"/>
        <w:jc w:val="both"/>
      </w:pPr>
      <w:r>
        <w:rPr>
          <w:rFonts w:ascii="Arial" w:cs="Arial" w:eastAsia="Arial" w:hAnsi="Arial"/>
          <w:b/>
          <w:bCs/>
          <w:sz w:val="22"/>
          <w:szCs w:val="22"/>
        </w:rPr>
        <w:t xml:space="preserve">6.3  </w:t>
      </w:r>
      <w:r>
        <w:rPr>
          <w:rFonts w:ascii="Arial" w:cs="Arial" w:eastAsia="Arial" w:hAnsi="Arial"/>
          <w:sz w:val="22"/>
          <w:szCs w:val="22"/>
        </w:rPr>
        <w:t xml:space="preserve">This document is placed before this Court for the following reasons, each of which is independently significant:</w:t>
      </w:r>
    </w:p>
    <w:p>
      <w:pPr>
        <w:spacing w:after="60" w:before="60"/>
        <w:ind w:left="720"/>
        <w:jc w:val="both"/>
      </w:pPr>
      <w:r>
        <w:rPr>
          <w:rFonts w:ascii="Arial" w:cs="Arial" w:eastAsia="Arial" w:hAnsi="Arial"/>
          <w:sz w:val="22"/>
          <w:szCs w:val="22"/>
        </w:rPr>
        <w:t xml:space="preserve">(a)  Forensic Payroll Misrepresentation to Government Authorities: The document discloses a forensic discrepancy of R5,948.62 between the salary declared to SARS/UIF by the Respondents (R27,725.66) and the gross salary appearing on the Applicant's July 2025 payslip (R21,777.04). This discrepancy arose in the same pay cycle as the unlawful 40.47% salary deduction of R14,811.77. The declared figure does not appear anywhere on the payslip — not in gross earnings, not in net pay, not in CTC. The Respondents appear to have reported to government authorities that they paid the Applicant a salary that, simultaneously and in the same month, they were clawing back almost entirely. This is not an administrative anomaly. It is a potential statutory misrepresentation to SARS and the Department of Employment and Labour in a legally mandated payroll declaration, and it materially elevates the characterisation of the unlawful deduction beyond a mere BCEA dispute.</w:t>
      </w:r>
    </w:p>
    <w:p>
      <w:pPr>
        <w:spacing w:after="60" w:before="60"/>
        <w:ind w:left="720"/>
        <w:jc w:val="both"/>
      </w:pPr>
      <w:r>
        <w:rPr>
          <w:rFonts w:ascii="Arial" w:cs="Arial" w:eastAsia="Arial" w:hAnsi="Arial"/>
          <w:sz w:val="22"/>
          <w:szCs w:val="22"/>
        </w:rPr>
        <w:t xml:space="preserve">(b)  Confirmed Pattern of Multi-Institutional Failure: The document records the failure of eleven regulatory and statutory bodies to protect a formally disabled whistleblower — including confirmed CCMA institutional bias, DEL inaction, SAPS refusal to open a criminal docket for documented statutory offences, Labour Court portal obstruction across eight days and seven attempted filings, and the silence of SANC, the Council for Medical Schemes, and the Whistleblower House. This pattern is placed before the Court not as a collateral grievance but as direct evidence of the coordinated institutional environment within which the Applicant was constructively dismissed, and within which the Respondents' conduct continued unremediated.</w:t>
      </w:r>
    </w:p>
    <w:p>
      <w:pPr>
        <w:spacing w:after="60" w:before="60"/>
        <w:ind w:left="720"/>
        <w:jc w:val="both"/>
      </w:pPr>
      <w:r>
        <w:rPr>
          <w:rFonts w:ascii="Arial" w:cs="Arial" w:eastAsia="Arial" w:hAnsi="Arial"/>
          <w:sz w:val="22"/>
          <w:szCs w:val="22"/>
        </w:rPr>
        <w:t xml:space="preserve">(c)  Confirmed Humanitarian Crisis as Proximate Consequence: The document provides a precise account of the Applicant's condition as of 13 March 2026: four months of rental arrears with a confirmed eviction deadline; no running water since January 2026; personal possessions physically removed by loan sharks as informal security; forced withdrawal of R48,400 in retirement savings; SANC deregistration preventing the Applicant from practising as a nurse; formal diagnosis of severe depression and PTSD; and self-representation across nine concurrent regulatory proceedings with no income, no legal aid, and no institutional support. The causal chain from the Respondents' unlawful July 2025 payroll deduction to this state of destitution is direct, documented, and unbroken. This Court is asked to note that this is not a description of vulnerability in the abstract — it is the measurable, itemised consequence of the Respondents' decision to deduct R14,811.77 from the salary of a specialist who had just been discharged from a psychiatric admission, in breach of their own policy, without consent, and in violation of the statutory 25% cap.</w:t>
      </w:r>
    </w:p>
    <w:p>
      <w:pPr>
        <w:spacing w:after="60" w:before="140"/>
      </w:pPr>
      <w:r>
        <w:rPr>
          <w:rFonts w:ascii="Arial" w:cs="Arial" w:eastAsia="Arial" w:hAnsi="Arial"/>
          <w:b/>
          <w:bCs/>
          <w:sz w:val="22"/>
          <w:szCs w:val="22"/>
          <w:u w:val="single"/>
        </w:rPr>
        <w:t xml:space="preserve">ANNEXURE "D" — CMS Formal Follow-Up (2 April 2026)</w:t>
      </w:r>
    </w:p>
    <w:p>
      <w:pPr>
        <w:spacing w:after="80" w:before="80"/>
        <w:jc w:val="both"/>
      </w:pPr>
      <w:r>
        <w:rPr>
          <w:rFonts w:ascii="Arial" w:cs="Arial" w:eastAsia="Arial" w:hAnsi="Arial"/>
          <w:b/>
          <w:bCs/>
          <w:sz w:val="22"/>
          <w:szCs w:val="22"/>
        </w:rPr>
        <w:t xml:space="preserve">6.4  </w:t>
      </w:r>
      <w:r>
        <w:rPr>
          <w:rFonts w:ascii="Arial" w:cs="Arial" w:eastAsia="Arial" w:hAnsi="Arial"/>
          <w:sz w:val="22"/>
          <w:szCs w:val="22"/>
        </w:rPr>
        <w:t xml:space="preserve">Attached hereto as Annexure "D" is the Applicant's Formal Follow-Up to the Council for Medical Schemes, dated 2 April 2026 (Reference CMS-REQUEST-3), filed in the context of the ongoing regulatory disclosure regarding the Gexus-DMS integration failure at Medscheme Holdings (Pty) Ltd.</w:t>
      </w:r>
    </w:p>
    <w:p>
      <w:pPr>
        <w:spacing w:after="80" w:before="80"/>
        <w:jc w:val="both"/>
      </w:pPr>
      <w:r>
        <w:rPr>
          <w:rFonts w:ascii="Arial" w:cs="Arial" w:eastAsia="Arial" w:hAnsi="Arial"/>
          <w:b/>
          <w:bCs/>
          <w:sz w:val="22"/>
          <w:szCs w:val="22"/>
        </w:rPr>
        <w:t xml:space="preserve">6.5  </w:t>
      </w:r>
      <w:r>
        <w:rPr>
          <w:rFonts w:ascii="Arial" w:cs="Arial" w:eastAsia="Arial" w:hAnsi="Arial"/>
          <w:sz w:val="22"/>
          <w:szCs w:val="22"/>
        </w:rPr>
        <w:t xml:space="preserve">This document is placed before this Court for the following reasons:</w:t>
      </w:r>
    </w:p>
    <w:p>
      <w:pPr>
        <w:spacing w:after="60" w:before="60"/>
        <w:ind w:left="720"/>
        <w:jc w:val="both"/>
      </w:pPr>
      <w:r>
        <w:rPr>
          <w:rFonts w:ascii="Arial" w:cs="Arial" w:eastAsia="Arial" w:hAnsi="Arial"/>
          <w:sz w:val="22"/>
          <w:szCs w:val="22"/>
        </w:rPr>
        <w:t xml:space="preserve">(a)  The Core Protected Disclosure Was a Priority 1 Clinical Safety Risk: The subject matter of the Applicant's primary protected disclosure — the Gexus-DMS integration failure — is not an internal administrative disagreement. It is a documented, Root-Cause-Analysis-confirmed, Priority 1 technical integration gap in Medscheme's Disease Management System that generated clinically incorrect non-adherence letters to an elderly GEMS beneficiary, and which, by virtue of the architectural nature of the gap, exposes all members undergoing the acute-to-chronic benefit transition to the same risk. The Respondents received the Applicant's Priority 1 Material Risk Report on 9 December 2025 with 38 attachments. They suppressed it. The CMS correspondence documents the precise statutory framework — Sections 7, 47, 58, and 44 of the Medical Schemes Act 131 of 1998 — under which this suppression constitutes maladministration.</w:t>
      </w:r>
    </w:p>
    <w:p>
      <w:pPr>
        <w:spacing w:after="60" w:before="60"/>
        <w:ind w:left="720"/>
        <w:jc w:val="both"/>
      </w:pPr>
      <w:r>
        <w:rPr>
          <w:rFonts w:ascii="Arial" w:cs="Arial" w:eastAsia="Arial" w:hAnsi="Arial"/>
          <w:sz w:val="22"/>
          <w:szCs w:val="22"/>
        </w:rPr>
        <w:t xml:space="preserve">(b)  The Respondents' Characterisation of the Disclosure as "Insubordination" is Forensically Untenable: The CMS letter demonstrates, with statutory specificity, that the Applicant's disclosure was not a breach of any employment obligation but the fulfilment of a regulatory duty owed to GEMS beneficiaries and mandated by the MSA. An employer that characterises the discharge of a statutory clinical governance obligation as insubordination, and that retaliates against the disclosing employee with an unlawful salary deduction, a hostile work environment, and subsequent constructive dismissal, cannot credibly claim that its conduct falls within the band of reasonable employer behaviour. The CMS correspondence places the Respondents on formal notice, in a regulatory forum, that their suppression of the risk report is pleaded in the High Court Director Delinquency Application (HCGS951842) and will be placed before the Portfolio Committee on Health if the CMS declines to engage.</w:t>
      </w:r>
    </w:p>
    <w:p>
      <w:pPr>
        <w:spacing w:after="60" w:before="60"/>
        <w:ind w:left="720"/>
        <w:jc w:val="both"/>
      </w:pPr>
      <w:r>
        <w:rPr>
          <w:rFonts w:ascii="Arial" w:cs="Arial" w:eastAsia="Arial" w:hAnsi="Arial"/>
          <w:sz w:val="22"/>
          <w:szCs w:val="22"/>
        </w:rPr>
        <w:t xml:space="preserve">(c)  The Discovery Health Precedent: The document records that the CMS exercised its supervisory jurisdiction over a technical system failure at Discovery Health Medical Scheme in January 2026 — acting on a financial processing error affecting member benefits. The Gexus-DMS failure carries direct clinical patient-safety implications for beneficiaries. If the CMS will act on the former and not the latter, the differential regulatory treatment of the Respondents' conduct becomes its own forensic finding.</w:t>
      </w:r>
    </w:p>
    <w:p>
      <w:pPr>
        <w:spacing w:after="60" w:before="140"/>
      </w:pPr>
      <w:r>
        <w:rPr>
          <w:rFonts w:ascii="Arial" w:cs="Arial" w:eastAsia="Arial" w:hAnsi="Arial"/>
          <w:b/>
          <w:bCs/>
          <w:sz w:val="22"/>
          <w:szCs w:val="22"/>
          <w:u w:val="single"/>
        </w:rPr>
        <w:t xml:space="preserve">ANNEXURE "E" — Academic Transcript and SAQA Qualification ID 118316 (CPUT, 18 April 2023)</w:t>
      </w:r>
    </w:p>
    <w:p>
      <w:pPr>
        <w:spacing w:after="80" w:before="80"/>
        <w:jc w:val="both"/>
      </w:pPr>
      <w:r>
        <w:rPr>
          <w:rFonts w:ascii="Arial" w:cs="Arial" w:eastAsia="Arial" w:hAnsi="Arial"/>
          <w:b/>
          <w:bCs/>
          <w:sz w:val="22"/>
          <w:szCs w:val="22"/>
        </w:rPr>
        <w:t xml:space="preserve">6.6  </w:t>
      </w:r>
      <w:r>
        <w:rPr>
          <w:rFonts w:ascii="Arial" w:cs="Arial" w:eastAsia="Arial" w:hAnsi="Arial"/>
          <w:sz w:val="22"/>
          <w:szCs w:val="22"/>
        </w:rPr>
        <w:t xml:space="preserve">Attached hereto as Annexure "E" is the Applicant's certified Academic Transcript issued by Cape Peninsula University of Technology, dated 18 April 2023, reflecting the award of the Postgraduate Diploma in Health Services Management (NQF Level 8, SAQA Qualification ID 118316) with a 90% Distinction in Professional Development.</w:t>
      </w:r>
    </w:p>
    <w:p>
      <w:pPr>
        <w:spacing w:after="80" w:before="80"/>
        <w:jc w:val="both"/>
      </w:pPr>
      <w:r>
        <w:rPr>
          <w:rFonts w:ascii="Arial" w:cs="Arial" w:eastAsia="Arial" w:hAnsi="Arial"/>
          <w:b/>
          <w:bCs/>
          <w:sz w:val="22"/>
          <w:szCs w:val="22"/>
        </w:rPr>
        <w:t xml:space="preserve">6.7  </w:t>
      </w:r>
      <w:r>
        <w:rPr>
          <w:rFonts w:ascii="Arial" w:cs="Arial" w:eastAsia="Arial" w:hAnsi="Arial"/>
          <w:sz w:val="22"/>
          <w:szCs w:val="22"/>
        </w:rPr>
        <w:t xml:space="preserve">This document is placed before this Court for the following reasons, and the Respondents are placed on formal notice of each:</w:t>
      </w:r>
    </w:p>
    <w:p>
      <w:pPr>
        <w:spacing w:after="60" w:before="60"/>
        <w:ind w:left="720"/>
        <w:jc w:val="both"/>
      </w:pPr>
      <w:r>
        <w:rPr>
          <w:rFonts w:ascii="Arial" w:cs="Arial" w:eastAsia="Arial" w:hAnsi="Arial"/>
          <w:sz w:val="22"/>
          <w:szCs w:val="22"/>
        </w:rPr>
        <w:t xml:space="preserve">(a)  The Applicant's NQF Level 8 Mandate is a Statutory Obligation, Not a Personal Choice: The Postgraduate Diploma in Health Services Management (SAQA ID 118316) carries registered Exit Level Outcomes that mandate the holder to identify and remediate systemic organisational risks using systems thinking, resolve ethical-legal dilemmas using advanced moral reasoning, and exercise specialist clinical governance leadership to improve patient outcomes and organisational safety. The Applicant's 90% Distinction in Professional Development is not an academic decoration. It is evidence of mastery of precisely those obligations. When the Applicant identified the Gexus-DMS integration gap and filed the Priority 1 Material Risk Report, he was not exercising an optional professional preference — he was discharging a statutory NQF mandate.</w:t>
      </w:r>
    </w:p>
    <w:p>
      <w:pPr>
        <w:spacing w:after="60" w:before="60"/>
        <w:ind w:left="720"/>
        <w:jc w:val="both"/>
      </w:pPr>
      <w:r>
        <w:rPr>
          <w:rFonts w:ascii="Arial" w:cs="Arial" w:eastAsia="Arial" w:hAnsi="Arial"/>
          <w:sz w:val="22"/>
          <w:szCs w:val="22"/>
        </w:rPr>
        <w:t xml:space="preserve">(b)  The Respondents Chose to Employ an NQF Level 8 Specialist and Then Penalised Him for Acting as One: The Respondents hired the Applicant at the level of a qualified specialist. They derived the corporate, financial, and reputational benefit of that qualification. They then characterised the fulfilment of that qualification's statutory obligations as insubordination, recorded it in the Applicant's employment file, subjected him to an unlawful payroll deduction, permitted a toxic work environment to persist, and ultimately constructively dismissed him. An employer cannot simultaneously benefit from the clinical governance capacity that an NQF Level 8 qualification confers and demand that the holder vacate the statutory oversight obligations that are inseparable from that capacity. To do so is not a management decision — it is a fraudulent extraction of professional value.</w:t>
      </w:r>
    </w:p>
    <w:p>
      <w:pPr>
        <w:spacing w:after="60" w:before="60"/>
        <w:ind w:left="720"/>
        <w:jc w:val="both"/>
      </w:pPr>
      <w:r>
        <w:rPr>
          <w:rFonts w:ascii="Arial" w:cs="Arial" w:eastAsia="Arial" w:hAnsi="Arial"/>
          <w:sz w:val="22"/>
          <w:szCs w:val="22"/>
        </w:rPr>
        <w:t xml:space="preserve">(c)  The Respondents Have Brought the NQF and the Protected Disclosures Act into Disrepute: The practical consequence of the Respondents' conduct, if it is not corrected by this Court, is this: every specialist employed at NQF Level 8 in a South African healthcare institution learns that the fulfilment of their statutory mandate is a career-ending act. That consequence is not confined to the Applicant. It is a structural disincentive to clinical governance oversight in every organisation that employs a qualified specialist and wishes to insulate its leadership from the scrutiny that qualification is designed to impose. This Court is respectfully asked to treat this matter not merely as a private employment dispute, but as a case carrying public interest implications for the integrity of the NQF framework and the Protected Disclosures Act as instruments of public accountability.</w:t>
      </w:r>
    </w:p>
    <w:p>
      <w:pPr>
        <w:pBdr>
          <w:bottom w:val="single" w:color="2E4057" w:sz="4" w:space="1"/>
        </w:pBdr>
        <w:spacing w:after="120" w:before="120"/>
      </w:pPr>
      <w:r>
        <w:t xml:space="preserve"/>
      </w:r>
    </w:p>
    <w:p>
      <w:pPr>
        <w:spacing w:after="120" w:before="280"/>
      </w:pPr>
      <w:r>
        <w:rPr>
          <w:rFonts w:ascii="Arial" w:cs="Arial" w:eastAsia="Arial" w:hAnsi="Arial"/>
          <w:b/>
          <w:bCs/>
          <w:sz w:val="26"/>
          <w:szCs w:val="26"/>
          <w:u w:val="single"/>
        </w:rPr>
        <w:t xml:space="preserve">7.  THE FORENSIC NARRATIVE — A STATEMENT FOR THE RECORD</w:t>
      </w:r>
    </w:p>
    <w:p>
      <w:pPr>
        <w:spacing w:after="80" w:before="80"/>
        <w:jc w:val="both"/>
      </w:pPr>
      <w:r>
        <w:rPr>
          <w:rFonts w:ascii="Arial" w:cs="Arial" w:eastAsia="Arial" w:hAnsi="Arial"/>
          <w:b/>
          <w:bCs/>
          <w:sz w:val="22"/>
          <w:szCs w:val="22"/>
        </w:rPr>
        <w:t xml:space="preserve">7.1  </w:t>
      </w:r>
      <w:r>
        <w:rPr>
          <w:rFonts w:ascii="Arial" w:cs="Arial" w:eastAsia="Arial" w:hAnsi="Arial"/>
          <w:sz w:val="22"/>
          <w:szCs w:val="22"/>
        </w:rPr>
        <w:t xml:space="preserve">The three annexures described above — read together with the Statement of Claim and the core bundle — establish a single, coherent, and forensically documented narrative that this Court is respectfully asked to hold in view throughout these proceedings:</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3"/>
              <w:left w:val="thick" w:color="C8971E" w:sz="12"/>
              <w:bottom w:val="single" w:color="2E4057" w:sz="3"/>
              <w:right w:val="single" w:color="2E4057" w:sz="3"/>
            </w:tcBorders>
            <w:shd w:fill="EEF4FA" w:val="clear"/>
            <w:tcMar>
              <w:top w:type="dxa" w:w="120"/>
              <w:left w:type="dxa" w:w="240"/>
              <w:bottom w:type="dxa" w:w="120"/>
              <w:right w:type="dxa" w:w="180"/>
            </w:tcMar>
          </w:tcPr>
          <w:p>
            <w:pPr>
              <w:spacing w:after="40" w:before="40"/>
            </w:pPr>
            <w:r>
              <w:rPr>
                <w:rFonts w:ascii="Arial" w:cs="Arial" w:eastAsia="Arial" w:hAnsi="Arial"/>
                <w:b/>
                <w:bCs/>
                <w:sz w:val="21"/>
                <w:szCs w:val="21"/>
              </w:rPr>
              <w:t xml:space="preserve">CORE FORENSIC PROPOSITION</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val="false"/>
                <w:bCs w:val="false"/>
                <w:sz w:val="21"/>
                <w:szCs w:val="21"/>
              </w:rPr>
              <w:t xml:space="preserve">The Applicant holds an NQF Level 8 specialisation in Health Services Management. His qualification mandates the identification and remediation of systemic organisational risk. On 9 December 2025, he delivered a Priority 1 Material Risk Report to the Respondents' board — documenting a clinical governance failure that was generating incorrect communications to vulnerable GEMS beneficiaries.</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val="false"/>
                <w:bCs w:val="false"/>
                <w:sz w:val="21"/>
                <w:szCs w:val="21"/>
              </w:rPr>
              <w:t xml:space="preserve">The Respondents did not remediate the risk. They suppressed the report (Monwabisi Kula email, 18 December 2025). They deducted R14,811.77 from the Applicant's salary — 40.47% of his earnings — in the same financial period, without consent, without authorisation, and in breach of the statutory 25% cap. They declared a different salary figure to government authorities in the same pay cycle. They permitted a hostile work environment to persist. They then silently appropriated the Applicant's independently designed CPD programme.</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val="false"/>
                <w:bCs w:val="false"/>
                <w:sz w:val="21"/>
                <w:szCs w:val="21"/>
              </w:rPr>
              <w:t xml:space="preserve">The Applicant sought redress from eleven regulatory bodies. Nine failed, deflected, or refused to act. The Labour Court portal obstructed access to filing for eight days. The SAPS declined to open a criminal docket for documented statutory offences.</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val="false"/>
                <w:bCs w:val="false"/>
                <w:sz w:val="21"/>
                <w:szCs w:val="21"/>
              </w:rPr>
              <w:t xml:space="preserve">The result — as of 13 March 2026 — was: imminent eviction, no running water, possessions seized by loan sharks, R48,400 in retirement savings consumed, SANC deregistration, severe depression and PTSD, and self-representation across nine concurrent proceedings.</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val="false"/>
                <w:bCs w:val="false"/>
                <w:sz w:val="21"/>
                <w:szCs w:val="21"/>
              </w:rPr>
              <w:t xml:space="preserve">The Respondents will not be able to explain how a forensically documented Priority 1 risk suppression, an unlawful 40.47% salary deduction, a multi-thousand-rand payroll misrepresentation to government authorities, the silent appropriation of a specialist's CPD programme, and the systematic destruction of that specialist's professional and personal life, are consistent with the conduct of a reasonable employer acting in good faith.</w:t>
            </w:r>
          </w:p>
        </w:tc>
      </w:tr>
    </w:tbl>
    <w:p>
      <w:pPr>
        <w:spacing w:after="80" w:before="80"/>
      </w:pPr>
    </w:p>
    <w:p>
      <w:pPr>
        <w:spacing w:after="80" w:before="80"/>
        <w:jc w:val="both"/>
      </w:pPr>
      <w:r>
        <w:rPr>
          <w:rFonts w:ascii="Arial" w:cs="Arial" w:eastAsia="Arial" w:hAnsi="Arial"/>
          <w:b/>
          <w:bCs/>
          <w:sz w:val="22"/>
          <w:szCs w:val="22"/>
        </w:rPr>
        <w:t xml:space="preserve">7.2  </w:t>
      </w:r>
      <w:r>
        <w:rPr>
          <w:rFonts w:ascii="Arial" w:cs="Arial" w:eastAsia="Arial" w:hAnsi="Arial"/>
          <w:sz w:val="22"/>
          <w:szCs w:val="22"/>
        </w:rPr>
        <w:t xml:space="preserve">These are not allegations in search of evidence. Every factual proposition in paragraph 7.1 above is supported by documentary evidence in the bundle: payslips, uFiling declarations, the CRO suppression email, the CCMA certificates, the RCA report, the SAHRC correspondence, the CMS letter, and the Academic Transcript. The Respondents are placed on notice that none of these documents are contested as to authenticity, and that the forensic discrepancies they disclose cannot be resolved by oral evidence.</w:t>
      </w:r>
    </w:p>
    <w:p>
      <w:pPr>
        <w:spacing w:after="80" w:before="80"/>
        <w:jc w:val="both"/>
      </w:pPr>
      <w:r>
        <w:rPr>
          <w:rFonts w:ascii="Arial" w:cs="Arial" w:eastAsia="Arial" w:hAnsi="Arial"/>
          <w:b/>
          <w:bCs/>
          <w:sz w:val="22"/>
          <w:szCs w:val="22"/>
        </w:rPr>
        <w:t xml:space="preserve">7.3  </w:t>
      </w:r>
      <w:r>
        <w:rPr>
          <w:rFonts w:ascii="Arial" w:cs="Arial" w:eastAsia="Arial" w:hAnsi="Arial"/>
          <w:sz w:val="22"/>
          <w:szCs w:val="22"/>
        </w:rPr>
        <w:t xml:space="preserve">The Applicant respectfully submits that the totality of this record — the NQF mandate (Annexure "E"), the institutional failure cascade (Annexure "C"), and the unremediated clinical governance risk (Annexure "D") — makes the Respondents' position forensically indefensible. There is no credible narrative in which a responsible employer simultaneously employs an NQF Level 8 specialist for his governance capacity, receives his Priority 1 risk report, suppresses it, deducts 40.47% of his salary in breach of statute, appropriates his intellectual property, and then watches in silence as he is evicted, deregistered, and reduced to operating without running water — all while maintaining that it acted reasonably, in good faith, and in compliance with its statutory obligations.</w:t>
      </w:r>
    </w:p>
    <w:p>
      <w:pPr>
        <w:pBdr>
          <w:bottom w:val="single" w:color="2E4057" w:sz="4" w:space="1"/>
        </w:pBdr>
        <w:spacing w:after="120" w:before="120"/>
      </w:pPr>
      <w:r>
        <w:t xml:space="preserve"/>
      </w:r>
    </w:p>
    <w:p>
      <w:pPr>
        <w:spacing w:after="120" w:before="280"/>
      </w:pPr>
      <w:r>
        <w:rPr>
          <w:rFonts w:ascii="Arial" w:cs="Arial" w:eastAsia="Arial" w:hAnsi="Arial"/>
          <w:b/>
          <w:bCs/>
          <w:sz w:val="26"/>
          <w:szCs w:val="26"/>
          <w:u w:val="single"/>
        </w:rPr>
        <w:t xml:space="preserve">8.  COMPLETE SCHEDULE OF ANNEXURES</w:t>
      </w:r>
    </w:p>
    <w:p>
      <w:pPr>
        <w:spacing w:after="80" w:before="80"/>
        <w:jc w:val="both"/>
      </w:pPr>
      <w:r>
        <w:rPr>
          <w:rFonts w:ascii="Arial" w:cs="Arial" w:eastAsia="Arial" w:hAnsi="Arial"/>
          <w:sz w:val="22"/>
          <w:szCs w:val="22"/>
        </w:rPr>
        <w:t xml:space="preserve">The following annexures are attached to and form part of this Affidavit of Service: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80"/>
              <w:bottom w:type="dxa" w:w="100"/>
              <w:right w:type="dxa" w:w="180"/>
            </w:tcMar>
          </w:tcPr>
          <w:p>
            <w:pPr>
              <w:spacing w:after="40" w:before="40"/>
            </w:pPr>
            <w:r>
              <w:rPr>
                <w:rFonts w:ascii="Arial" w:cs="Arial" w:eastAsia="Arial" w:hAnsi="Arial"/>
                <w:b/>
                <w:bCs/>
                <w:sz w:val="21"/>
                <w:szCs w:val="21"/>
              </w:rPr>
              <w:t xml:space="preserve">ANNEXURE "A":  Notice of Opposition and Answering Affidavit of Mr Xolile Vincent Manyati, dated 10 December 2025 (CCMA Case WECT23564-25), confirming IR@afrocentrichealth.com as the Respondent's authorised service address.</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bCs/>
                <w:sz w:val="21"/>
                <w:szCs w:val="21"/>
              </w:rPr>
              <w:t xml:space="preserve">ANNEXURE "B":  Email transmission record and delivery confirmation confirming service of the Statement of Claim on 8 April 2026.</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bCs/>
                <w:sz w:val="21"/>
                <w:szCs w:val="21"/>
              </w:rPr>
              <w:t xml:space="preserve">ANNEXURE "C":  Final Comprehensive Update to the South African Human Rights Commission (Western Cape), dated 13 March 2026 — documenting the forensic payroll discrepancy, confirmed CCMA institutional bias, multi-body regulatory failure, Labour Court portal obstruction, and confirmed destitution and imminent homelessness as direct consequences of the Respondents' conduct.</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bCs/>
                <w:sz w:val="21"/>
                <w:szCs w:val="21"/>
              </w:rPr>
              <w:t xml:space="preserve">ANNEXURE "D":  Formal Follow-Up to the Council for Medical Schemes (dated 2 April 2026, Reference CMS-REQUEST-3) — documenting the Gexus-DMS integration failure as a Priority 1 clinical safety risk constituting Administrator maladministration under the Medical Schemes Act 131 of 1998, the Discovery Health precedent, and the statutory grounds for CMS re-engagement.</w:t>
            </w:r>
          </w:p>
          <w:p>
            <w:pPr>
              <w:spacing w:after="40" w:before="40"/>
            </w:pPr>
            <w:r>
              <w:rPr>
                <w:rFonts w:ascii="Arial" w:cs="Arial" w:eastAsia="Arial" w:hAnsi="Arial"/>
                <w:b w:val="false"/>
                <w:bCs w:val="false"/>
                <w:sz w:val="21"/>
                <w:szCs w:val="21"/>
              </w:rPr>
              <w:t xml:space="preserve"/>
            </w:r>
          </w:p>
          <w:p>
            <w:pPr>
              <w:spacing w:after="40" w:before="40"/>
            </w:pPr>
            <w:r>
              <w:rPr>
                <w:rFonts w:ascii="Arial" w:cs="Arial" w:eastAsia="Arial" w:hAnsi="Arial"/>
                <w:b/>
                <w:bCs/>
                <w:sz w:val="21"/>
                <w:szCs w:val="21"/>
              </w:rPr>
              <w:t xml:space="preserve">ANNEXURE "E":  Academic Transcript, Cape Peninsula University of Technology (issued 18 April 2023) — confirming the Applicant's award of the Postgraduate Diploma in Health Services Management (SAQA Qualification ID 118316, NQF Exit Level 8) with a 90% Distinction in Professional Development, and the Exit Level Outcomes mandating the clinical governance obligations the Applicant discharged.</w:t>
            </w:r>
          </w:p>
        </w:tc>
      </w:tr>
    </w:tbl>
    <w:p>
      <w:pPr>
        <w:pBdr>
          <w:bottom w:val="single" w:color="2E4057" w:sz="4" w:space="1"/>
        </w:pBdr>
        <w:spacing w:after="120" w:before="120"/>
      </w:pPr>
      <w:r>
        <w:t xml:space="preserve"/>
      </w:r>
    </w:p>
    <w:p>
      <w:pPr>
        <w:spacing w:after="80" w:before="160"/>
        <w:jc w:val="center"/>
      </w:pPr>
      <w:r>
        <w:rPr>
          <w:rFonts w:ascii="Arial" w:cs="Arial" w:eastAsia="Arial" w:hAnsi="Arial"/>
          <w:b/>
          <w:bCs/>
          <w:sz w:val="22"/>
          <w:szCs w:val="22"/>
          <w:u w:val="single"/>
        </w:rPr>
        <w:t xml:space="preserve">DEPONENT'S DECLARATION</w:t>
      </w:r>
    </w:p>
    <w:p>
      <w:pPr>
        <w:spacing w:after="80" w:before="80"/>
        <w:jc w:val="both"/>
      </w:pPr>
      <w:r>
        <w:rPr>
          <w:rFonts w:ascii="Arial" w:cs="Arial" w:eastAsia="Arial" w:hAnsi="Arial"/>
          <w:sz w:val="22"/>
          <w:szCs w:val="22"/>
        </w:rPr>
        <w:t xml:space="preserve">I, WILBUR WILLIAM MATTHEE, declare that the facts set out in this affidavit are within my personal knowledge and are to the best of my knowledge and belief true and correct.</w:t>
      </w:r>
    </w:p>
    <w:p>
      <w:pPr>
        <w:spacing w:after="60" w:before="480"/>
      </w:pPr>
      <w:r>
        <w:rPr>
          <w:rFonts w:ascii="Arial" w:cs="Arial" w:eastAsia="Arial" w:hAnsi="Arial"/>
          <w:sz w:val="22"/>
          <w:szCs w:val="22"/>
        </w:rPr>
        <w:t xml:space="preserve">____________________________________</w:t>
      </w:r>
    </w:p>
    <w:p>
      <w:pPr>
        <w:spacing w:after="80" w:before="80"/>
        <w:jc w:val="both"/>
      </w:pPr>
      <w:r>
        <w:rPr>
          <w:rFonts w:ascii="Arial" w:cs="Arial" w:eastAsia="Arial" w:hAnsi="Arial"/>
          <w:b/>
          <w:bCs/>
          <w:sz w:val="22"/>
          <w:szCs w:val="22"/>
        </w:rPr>
        <w:t xml:space="preserve">WILBUR WILLIAM MATTHEE</w:t>
      </w:r>
    </w:p>
    <w:p>
      <w:pPr>
        <w:spacing w:after="80" w:before="80"/>
        <w:jc w:val="both"/>
      </w:pPr>
      <w:r>
        <w:rPr>
          <w:rFonts w:ascii="Arial" w:cs="Arial" w:eastAsia="Arial" w:hAnsi="Arial"/>
          <w:sz w:val="22"/>
          <w:szCs w:val="22"/>
        </w:rPr>
        <w:t xml:space="preserve">Applicant / Deponent</w:t>
      </w:r>
    </w:p>
    <w:p>
      <w:pPr>
        <w:spacing w:after="80" w:before="80"/>
        <w:jc w:val="both"/>
      </w:pPr>
      <w:r>
        <w:rPr>
          <w:rFonts w:ascii="Arial" w:cs="Arial" w:eastAsia="Arial" w:hAnsi="Arial"/>
          <w:sz w:val="22"/>
          <w:szCs w:val="22"/>
        </w:rPr>
        <w:t xml:space="preserve">info@ethichawks.co.za  |  Tel: 069 635 1435 / 063 378 8782</w:t>
      </w:r>
    </w:p>
    <w:p>
      <w:pPr>
        <w:spacing w:after="80" w:before="80"/>
        <w:jc w:val="both"/>
      </w:pPr>
      <w:r>
        <w:rPr>
          <w:rFonts w:ascii="Arial" w:cs="Arial" w:eastAsia="Arial" w:hAnsi="Arial"/>
          <w:sz w:val="22"/>
          <w:szCs w:val="22"/>
        </w:rPr>
        <w:t xml:space="preserve">Signed at CAPE TOWN on 8 April 2026</w:t>
      </w:r>
    </w:p>
    <w:p>
      <w:pPr>
        <w:pBdr>
          <w:bottom w:val="single" w:color="2E4057" w:sz="4" w:space="1"/>
        </w:pBdr>
        <w:spacing w:after="120" w:before="120"/>
      </w:pPr>
      <w:r>
        <w:t xml:space="preserve"/>
      </w:r>
    </w:p>
    <w:p>
      <w:pPr>
        <w:spacing w:after="80" w:before="120"/>
        <w:jc w:val="center"/>
      </w:pPr>
      <w:r>
        <w:rPr>
          <w:rFonts w:ascii="Arial" w:cs="Arial" w:eastAsia="Arial" w:hAnsi="Arial"/>
          <w:b/>
          <w:bCs/>
          <w:sz w:val="22"/>
          <w:szCs w:val="22"/>
        </w:rPr>
        <w:t xml:space="preserve">COMMISSIONER OF OATHS</w:t>
      </w:r>
    </w:p>
    <w:p>
      <w:pPr>
        <w:spacing w:after="80" w:before="80"/>
        <w:jc w:val="both"/>
      </w:pPr>
      <w:r>
        <w:rPr>
          <w:rFonts w:ascii="Arial" w:cs="Arial" w:eastAsia="Arial" w:hAnsi="Arial"/>
          <w:sz w:val="22"/>
          <w:szCs w:val="22"/>
        </w:rPr>
        <w:t xml:space="preserve">Full Name: _______________________________________________</w:t>
      </w:r>
    </w:p>
    <w:p>
      <w:pPr>
        <w:spacing w:after="80" w:before="80"/>
        <w:jc w:val="both"/>
      </w:pPr>
      <w:r>
        <w:rPr>
          <w:rFonts w:ascii="Arial" w:cs="Arial" w:eastAsia="Arial" w:hAnsi="Arial"/>
          <w:sz w:val="22"/>
          <w:szCs w:val="22"/>
        </w:rPr>
        <w:t xml:space="preserve">Designation / Capacity: _______________________________________________</w:t>
      </w:r>
    </w:p>
    <w:p>
      <w:pPr>
        <w:spacing w:after="80" w:before="80"/>
        <w:jc w:val="both"/>
      </w:pPr>
      <w:r>
        <w:rPr>
          <w:rFonts w:ascii="Arial" w:cs="Arial" w:eastAsia="Arial" w:hAnsi="Arial"/>
          <w:sz w:val="22"/>
          <w:szCs w:val="22"/>
        </w:rPr>
        <w:t xml:space="preserve">Address: _______________________________________________</w:t>
      </w:r>
    </w:p>
    <w:p>
      <w:pPr>
        <w:spacing w:after="80" w:before="200"/>
      </w:pPr>
      <w:r>
        <w:rPr>
          <w:rFonts w:ascii="Arial" w:cs="Arial" w:eastAsia="Arial" w:hAnsi="Arial"/>
          <w:sz w:val="22"/>
          <w:szCs w:val="22"/>
        </w:rPr>
        <w:t xml:space="preserve">I certify that on this _______ day of _______________ 2026, the deponent appeared before me and acknowledged that:</w:t>
      </w:r>
    </w:p>
    <w:p>
      <w:pPr>
        <w:spacing w:after="60" w:before="60"/>
        <w:ind w:left="720"/>
        <w:jc w:val="both"/>
      </w:pPr>
      <w:r>
        <w:rPr>
          <w:rFonts w:ascii="Arial" w:cs="Arial" w:eastAsia="Arial" w:hAnsi="Arial"/>
          <w:sz w:val="22"/>
          <w:szCs w:val="22"/>
        </w:rPr>
        <w:t xml:space="preserve">(a) he knows and understands the contents hereof;</w:t>
      </w:r>
    </w:p>
    <w:p>
      <w:pPr>
        <w:spacing w:after="60" w:before="60"/>
        <w:ind w:left="720"/>
        <w:jc w:val="both"/>
      </w:pPr>
      <w:r>
        <w:rPr>
          <w:rFonts w:ascii="Arial" w:cs="Arial" w:eastAsia="Arial" w:hAnsi="Arial"/>
          <w:sz w:val="22"/>
          <w:szCs w:val="22"/>
        </w:rPr>
        <w:t xml:space="preserve">(b) he has no objection to taking the prescribed oath;</w:t>
      </w:r>
    </w:p>
    <w:p>
      <w:pPr>
        <w:spacing w:after="60" w:before="60"/>
        <w:ind w:left="720"/>
        <w:jc w:val="both"/>
      </w:pPr>
      <w:r>
        <w:rPr>
          <w:rFonts w:ascii="Arial" w:cs="Arial" w:eastAsia="Arial" w:hAnsi="Arial"/>
          <w:sz w:val="22"/>
          <w:szCs w:val="22"/>
        </w:rPr>
        <w:t xml:space="preserve">(c) he considers the oath to be binding on his conscience; and</w:t>
      </w:r>
    </w:p>
    <w:p>
      <w:pPr>
        <w:spacing w:after="60" w:before="60"/>
        <w:ind w:left="720"/>
        <w:jc w:val="both"/>
      </w:pPr>
      <w:r>
        <w:rPr>
          <w:rFonts w:ascii="Arial" w:cs="Arial" w:eastAsia="Arial" w:hAnsi="Arial"/>
          <w:sz w:val="22"/>
          <w:szCs w:val="22"/>
        </w:rPr>
        <w:t xml:space="preserve">(d) he uttered the words "I swear that the contents of this declaration are true, so help me God."</w:t>
      </w:r>
    </w:p>
    <w:p>
      <w:pPr>
        <w:spacing w:after="80" w:before="480"/>
      </w:pPr>
      <w:r>
        <w:rPr>
          <w:rFonts w:ascii="Arial" w:cs="Arial" w:eastAsia="Arial" w:hAnsi="Arial"/>
          <w:sz w:val="22"/>
          <w:szCs w:val="22"/>
        </w:rPr>
        <w:t xml:space="preserve">____________________________________        ____________________________________</w:t>
      </w:r>
    </w:p>
    <w:p>
      <w:pPr>
        <w:spacing w:after="40" w:before="40"/>
      </w:pPr>
      <w:r>
        <w:rPr>
          <w:rFonts w:ascii="Arial" w:cs="Arial" w:eastAsia="Arial" w:hAnsi="Arial"/>
          <w:sz w:val="22"/>
          <w:szCs w:val="22"/>
        </w:rPr>
        <w:t xml:space="preserve">WILBUR WILLIAM MATTHEE                        COMMISSIONER OF OATHS</w:t>
      </w:r>
    </w:p>
    <w:p>
      <w:pPr>
        <w:spacing w:after="80" w:before="80"/>
        <w:jc w:val="both"/>
      </w:pPr>
      <w:r>
        <w:rPr>
          <w:rFonts w:ascii="Arial" w:cs="Arial" w:eastAsia="Arial" w:hAnsi="Arial"/>
          <w:sz w:val="22"/>
          <w:szCs w:val="22"/>
        </w:rPr>
        <w:t xml:space="preserve">Signed at CAPE TOWN on this 8th day of APRIL 2026</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2026-04-07T23:34:52.404Z</dcterms:created>
  <dcterms:modified xsi:type="dcterms:W3CDTF">2026-04-07T23:34:52.405Z</dcterms:modified>
</cp:coreProperties>
</file>

<file path=docProps/custom.xml><?xml version="1.0" encoding="utf-8"?>
<Properties xmlns="http://schemas.openxmlformats.org/officeDocument/2006/custom-properties" xmlns:vt="http://schemas.openxmlformats.org/officeDocument/2006/docPropsVTypes"/>
</file>