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0" w:before="0"/>
      </w:pPr>
      <w:r>
        <w:rPr>
          <w:sz w:val="4"/>
          <w:szCs w:val="4"/>
        </w:rPr>
        <w:t xml:space="preserve"/>
      </w:r>
    </w:p>
    <w:p>
      <w:pPr>
        <w:spacing w:after="80" w:before="560"/>
        <w:jc w:val="center"/>
      </w:pPr>
      <w:r>
        <w:rPr>
          <w:rFonts w:ascii="Arial" w:cs="Arial" w:eastAsia="Arial" w:hAnsi="Arial"/>
          <w:b/>
          <w:bCs/>
          <w:color w:val="C9A84C"/>
          <w:sz w:val="52"/>
          <w:szCs w:val="52"/>
        </w:rPr>
        <w:t xml:space="preserve">ETHICHAWKS</w:t>
      </w:r>
    </w:p>
    <w:p>
      <w:pPr>
        <w:spacing w:after="40" w:before="0"/>
        <w:jc w:val="center"/>
      </w:pPr>
      <w:r>
        <w:rPr>
          <w:rFonts w:ascii="Arial" w:cs="Arial" w:eastAsia="Arial" w:hAnsi="Arial"/>
          <w:b/>
          <w:bCs/>
          <w:color w:val="D6E4F0"/>
          <w:sz w:val="20"/>
          <w:szCs w:val="20"/>
        </w:rPr>
        <w:t xml:space="preserve">FORENSIC GOVERNANCE &amp; COMPLIANCE CONSULTANCY</w:t>
      </w:r>
    </w:p>
    <w:p>
      <w:pPr>
        <w:pBdr>
          <w:bottom w:val="single" w:color="C9A84C" w:sz="8" w:space="4"/>
        </w:pBdr>
        <w:spacing w:after="80" w:before="80"/>
      </w:pPr>
    </w:p>
    <w:p>
      <w:pPr>
        <w:spacing w:after="0" w:before="0"/>
      </w:pPr>
      <w:r>
        <w:t xml:space="preserve"/>
      </w:r>
    </w:p>
    <w:p>
      <w:pPr>
        <w:spacing w:after="120" w:before="200"/>
        <w:jc w:val="center"/>
      </w:pPr>
      <w:r>
        <w:rPr>
          <w:rFonts w:ascii="Arial" w:cs="Arial" w:eastAsia="Arial" w:hAnsi="Arial"/>
          <w:b/>
          <w:bCs/>
          <w:color w:val="C9A84C"/>
          <w:sz w:val="52"/>
          <w:szCs w:val="52"/>
        </w:rPr>
        <w:t xml:space="preserve">MANIFESTO OF RETALIATION</w:t>
      </w:r>
    </w:p>
    <w:p>
      <w:pPr>
        <w:spacing w:after="80" w:before="80"/>
        <w:jc w:val="center"/>
      </w:pPr>
      <w:r>
        <w:rPr>
          <w:rFonts w:ascii="Arial" w:cs="Arial" w:eastAsia="Arial" w:hAnsi="Arial"/>
          <w:b/>
          <w:bCs/>
          <w:color w:val="FFFFFF"/>
          <w:sz w:val="26"/>
          <w:szCs w:val="26"/>
        </w:rPr>
        <w:t xml:space="preserve">A FORENSIC NARRATIVE OF WHISTLEBLOWER DESTRUCTION</w:t>
      </w:r>
    </w:p>
    <w:p>
      <w:pPr>
        <w:spacing w:after="0" w:before="0"/>
      </w:pPr>
      <w:r>
        <w:t xml:space="preserve"/>
      </w:r>
    </w:p>
    <w:p>
      <w:pPr>
        <w:pBdr>
          <w:top w:val="single" w:color="C9A84C" w:sz="4"/>
          <w:bottom w:val="single" w:color="C9A84C" w:sz="4"/>
        </w:pBdr>
        <w:spacing w:after="80" w:before="80"/>
        <w:jc w:val="center"/>
      </w:pPr>
      <w:r>
        <w:rPr>
          <w:rFonts w:ascii="Arial" w:cs="Arial" w:eastAsia="Arial" w:hAnsi="Arial"/>
          <w:i/>
          <w:iCs/>
          <w:color w:val="D6E4F0"/>
          <w:sz w:val="22"/>
          <w:szCs w:val="22"/>
        </w:rPr>
        <w:t xml:space="preserve">Prepared for submission in the Labour Court of South Africa</w:t>
      </w:r>
    </w:p>
    <w:p>
      <w:pPr>
        <w:spacing w:after="0" w:before="0"/>
      </w:pPr>
      <w:r>
        <w:t xml:space="preserve"/>
      </w:r>
    </w:p>
    <w:p>
      <w:pPr>
        <w:spacing w:after="60" w:before="120"/>
        <w:jc w:val="center"/>
      </w:pPr>
      <w:r>
        <w:rPr>
          <w:rFonts w:ascii="Arial" w:cs="Arial" w:eastAsia="Arial" w:hAnsi="Arial"/>
          <w:b/>
          <w:bCs/>
          <w:color w:val="C9A84C"/>
          <w:sz w:val="22"/>
          <w:szCs w:val="22"/>
        </w:rPr>
        <w:t xml:space="preserve">MATTER:</w:t>
      </w:r>
    </w:p>
    <w:p>
      <w:pPr>
        <w:spacing w:after="60" w:before="60"/>
        <w:jc w:val="center"/>
      </w:pPr>
      <w:r>
        <w:rPr>
          <w:rFonts w:ascii="Arial" w:cs="Arial" w:eastAsia="Arial" w:hAnsi="Arial"/>
          <w:b/>
          <w:bCs/>
          <w:color w:val="FFFFFF"/>
          <w:sz w:val="24"/>
          <w:szCs w:val="24"/>
        </w:rPr>
        <w:t xml:space="preserve">MATTHEE v AFROCENTRIC HEALTH (PTY) LTD &amp; MEDSCHEME HOLDINGS (PTY) LTD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 DETAIL</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Prepared by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Wilbur William Matthee — Deponent &amp; Self-Represented Applicant</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Forensic Author</w:t>
            </w:r>
          </w:p>
        </w:tc>
        <w:tc>
          <w:tcPr>
            <w:tcW w:type="dxa" w:w="6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EthicHawks Forensic Governance &amp; Compliance Consultancy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Period Under Review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16 April 2025 — 17 April 2026</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Primary Evidence Base</w:t>
            </w:r>
          </w:p>
        </w:tc>
        <w:tc>
          <w:tcPr>
            <w:tcW w:type="dxa" w:w="6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58 Primary Source Documents (42 Unique after Deduplication)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CCMA References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WECT23564-25 | WECT24486-25</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Labour Court Reference</w:t>
            </w:r>
          </w:p>
        </w:tc>
        <w:tc>
          <w:tcPr>
            <w:tcW w:type="dxa" w:w="6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Case No. 2026-077546 (BCEA Section 77A)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 Court Reference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Case AFR1282 — Rule Nisi returnable 28 May 2026</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Date of Compilation</w:t>
            </w:r>
          </w:p>
        </w:tc>
        <w:tc>
          <w:tcPr>
            <w:tcW w:type="dxa" w:w="6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April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Classification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LEGAL — CONFIDENTIAL — COURT DOCUMENT</w:t>
            </w:r>
          </w:p>
        </w:tc>
      </w:tr>
    </w:tbl>
    <w:p>
      <w:pPr>
        <w:spacing w:after="0" w:before="0"/>
      </w:pPr>
      <w:r>
        <w:t xml:space="preserve"/>
      </w:r>
    </w:p>
    <w:p>
      <w:pPr>
        <w:spacing w:after="40" w:before="160"/>
        <w:jc w:val="center"/>
      </w:pPr>
      <w:r>
        <w:rPr>
          <w:rFonts w:ascii="Arial" w:cs="Arial" w:eastAsia="Arial" w:hAnsi="Arial"/>
          <w:color w:val="C9A84C"/>
          <w:sz w:val="20"/>
          <w:szCs w:val="20"/>
        </w:rPr>
        <w:t xml:space="preserve">info@ethichawks.co.za  |  Cape Town, South Africa</w:t>
      </w:r>
    </w:p>
    <w:p>
      <w:r>
        <w:br w:type="page"/>
      </w:r>
    </w:p>
    <w:p>
      <w:pPr>
        <w:sectPr>
          <w:pgSz w:w="11906" w:h="16838" w:orient="portrait"/>
          <w:pgMar w:top="1440" w:right="1440" w:bottom="1440" w:left="1440" w:header="708" w:footer="708" w:gutter="0"/>
          <w:pgNumType/>
          <w:docGrid w:linePitch="360"/>
        </w:sectPr>
      </w:pPr>
    </w:p>
    <w:p>
      <w:pPr>
        <w:pStyle w:val="Heading1"/>
        <w:shd w:fill="1B2A4A" w:val="clear"/>
        <w:spacing w:after="120" w:before="320"/>
      </w:pPr>
      <w:r>
        <w:rPr>
          <w:rFonts w:ascii="Arial" w:cs="Arial" w:eastAsia="Arial" w:hAnsi="Arial"/>
          <w:b/>
          <w:bCs/>
          <w:color w:val="FFFFFF"/>
          <w:sz w:val="28"/>
          <w:szCs w:val="28"/>
        </w:rPr>
        <w:t xml:space="preserve">PREAMBLE — THE VOICE OF THE WHISTLEBLOWER</w:t>
      </w:r>
    </w:p>
    <w:p>
      <w:pPr>
        <w:spacing w:after="0" w:before="0"/>
      </w:pPr>
      <w:r>
        <w:t xml:space="preserve"/>
      </w:r>
    </w:p>
    <w:p>
      <w:pPr>
        <w:spacing w:after="60" w:before="60"/>
        <w:jc w:val="both"/>
      </w:pPr>
      <w:r>
        <w:rPr>
          <w:rFonts w:ascii="Arial" w:cs="Arial" w:eastAsia="Arial" w:hAnsi="Arial"/>
          <w:b w:val="false"/>
          <w:bCs w:val="false"/>
          <w:i w:val="false"/>
          <w:iCs w:val="false"/>
          <w:color w:val="2C2C2C"/>
          <w:sz w:val="22"/>
          <w:szCs w:val="22"/>
        </w:rPr>
        <w:t xml:space="preserve">I, Wilbur William Matthee, a Specialist Registered Nurse, Forensic Governance Practitioner, and the sole author of this document, place this Manifesto of Retaliation before this Honourable Court not merely as a statement of claim, but as a forensic chronicle — a meticulous, evidence-anchored record of what was done to me, when it was done, by whom, and why it was done. It is a record of how one institution, AfroCentric Health and its subsidiary Medscheme Holdings, chose to punish a nurse who dared to speak.</w:t>
      </w:r>
    </w:p>
    <w:p>
      <w:pPr>
        <w:spacing w:after="0" w:before="0"/>
      </w:pPr>
      <w:r>
        <w:t xml:space="preserve"/>
      </w:r>
    </w:p>
    <w:p>
      <w:pPr>
        <w:spacing w:after="60" w:before="60"/>
        <w:jc w:val="both"/>
      </w:pPr>
      <w:r>
        <w:rPr>
          <w:rFonts w:ascii="Arial" w:cs="Arial" w:eastAsia="Arial" w:hAnsi="Arial"/>
          <w:b w:val="false"/>
          <w:bCs w:val="false"/>
          <w:i w:val="false"/>
          <w:iCs w:val="false"/>
          <w:color w:val="2C2C2C"/>
          <w:sz w:val="22"/>
          <w:szCs w:val="22"/>
        </w:rPr>
        <w:t xml:space="preserve">I was recruited as a Specialist. I disclosed a dangerous system integration failure that threatened the health of 1.9 million GEMS beneficiaries. I reported discrimination. I reported an unlawful salary deduction. I reported psychological harassment targeting my identity as a gay man. At every turn, the institution responded not with accountability, but with silence, whitewashing, financial cruelty, character assassination under oath, and ultimately, a High Court interdict seeking to permanently silence me.</w:t>
      </w:r>
    </w:p>
    <w:p>
      <w:pPr>
        <w:spacing w:after="0" w:before="0"/>
      </w:pPr>
      <w:r>
        <w:t xml:space="preserve"/>
      </w:r>
    </w:p>
    <w:p>
      <w:pPr>
        <w:spacing w:after="60" w:before="60"/>
        <w:jc w:val="both"/>
      </w:pPr>
      <w:r>
        <w:rPr>
          <w:rFonts w:ascii="Arial" w:cs="Arial" w:eastAsia="Arial" w:hAnsi="Arial"/>
          <w:b w:val="false"/>
          <w:bCs w:val="false"/>
          <w:i w:val="false"/>
          <w:iCs w:val="false"/>
          <w:color w:val="2C2C2C"/>
          <w:sz w:val="22"/>
          <w:szCs w:val="22"/>
        </w:rPr>
        <w:t xml:space="preserve">This document does not merely catalogue violations. It tells the story that the employer hoped would never reach a court. It names the decisions, the dates, the documents, and the people. It connects the pattern that the employer relied upon remaining invisible. And it places before this Court the totality of institutional bad faith that left a specialist nurse homeless, deregistered, in PTSD collapse, and without recourse — while the institution that destroyed him continues to operate, unaccountable, behind a High Court interdict.</w:t>
      </w:r>
    </w:p>
    <w:p>
      <w:pPr>
        <w:pBdr>
          <w:left w:val="single" w:color="8B1A1A" w:sz="12" w:space="8"/>
        </w:pBdr>
        <w:shd w:fill="FAE5E5" w:val="clear"/>
        <w:spacing w:after="80" w:before="80"/>
        <w:ind w:left="720" w:right="720"/>
        <w:jc w:val="both"/>
      </w:pPr>
      <w:r>
        <w:rPr>
          <w:rFonts w:ascii="Arial" w:cs="Arial" w:eastAsia="Arial" w:hAnsi="Arial"/>
          <w:i/>
          <w:iCs/>
          <w:color w:val="8B1A1A"/>
          <w:sz w:val="22"/>
          <w:szCs w:val="22"/>
        </w:rPr>
        <w:t xml:space="preserve">"This is not a case of a disgruntled employee. This is a case of a whistleblower destroyed by a system designed to protect itself — not its people."</w:t>
      </w:r>
    </w:p>
    <w:p>
      <w:pPr>
        <w:spacing w:after="60" w:before="60"/>
        <w:jc w:val="both"/>
      </w:pPr>
      <w:r>
        <w:rPr>
          <w:rFonts w:ascii="Arial" w:cs="Arial" w:eastAsia="Arial" w:hAnsi="Arial"/>
          <w:b w:val="false"/>
          <w:bCs w:val="false"/>
          <w:i/>
          <w:iCs/>
          <w:color w:val="2C2C2C"/>
          <w:sz w:val="22"/>
          <w:szCs w:val="22"/>
        </w:rPr>
        <w:t xml:space="preserve">I ask this Court to see the evidence not in fragments, but as the complete, coherent, and calculated story it is.</w:t>
      </w:r>
    </w:p>
    <w:p>
      <w:pPr>
        <w:spacing w:after="0" w:before="0"/>
      </w:pPr>
      <w:r>
        <w:t xml:space="preserve"/>
      </w:r>
    </w:p>
    <w:p>
      <w:pPr>
        <w:pBdr>
          <w:bottom w:val="single" w:color="C9A84C" w:sz="8" w:space="4"/>
        </w:pBdr>
        <w:spacing w:after="80" w:before="80"/>
      </w:pPr>
    </w:p>
    <w:p>
      <w:pPr>
        <w:pStyle w:val="Heading1"/>
        <w:shd w:fill="1B2A4A" w:val="clear"/>
        <w:spacing w:after="120" w:before="320"/>
      </w:pPr>
      <w:r>
        <w:rPr>
          <w:rFonts w:ascii="Arial" w:cs="Arial" w:eastAsia="Arial" w:hAnsi="Arial"/>
          <w:b/>
          <w:bCs/>
          <w:color w:val="FFFFFF"/>
          <w:sz w:val="28"/>
          <w:szCs w:val="28"/>
        </w:rPr>
        <w:t xml:space="preserve">PART I — WHO I AM: THE EMPLOYEE BEHIND THE RECORD</w:t>
      </w:r>
    </w:p>
    <w:p>
      <w:pPr>
        <w:pStyle w:val="Heading2"/>
        <w:pBdr>
          <w:left w:val="single" w:color="C9A84C" w:sz="12" w:space="6"/>
        </w:pBdr>
        <w:spacing w:after="80" w:before="240"/>
      </w:pPr>
      <w:r>
        <w:rPr>
          <w:rFonts w:ascii="Arial" w:cs="Arial" w:eastAsia="Arial" w:hAnsi="Arial"/>
          <w:b/>
          <w:bCs/>
          <w:color w:val="1B2A4A"/>
          <w:sz w:val="24"/>
          <w:szCs w:val="24"/>
        </w:rPr>
        <w:t xml:space="preserve">1.1  Professional Identity and Qualifications</w:t>
      </w:r>
    </w:p>
    <w:p>
      <w:pPr>
        <w:spacing w:after="60" w:before="60"/>
        <w:jc w:val="both"/>
      </w:pPr>
      <w:r>
        <w:rPr>
          <w:rFonts w:ascii="Arial" w:cs="Arial" w:eastAsia="Arial" w:hAnsi="Arial"/>
          <w:b w:val="false"/>
          <w:bCs w:val="false"/>
          <w:i w:val="false"/>
          <w:iCs w:val="false"/>
          <w:color w:val="2C2C2C"/>
          <w:sz w:val="22"/>
          <w:szCs w:val="22"/>
        </w:rPr>
        <w:t xml:space="preserve">I am a Specialist Registered Nurse with eighteen years of clinical governance experience. My qualifications include a Postgraduate Diploma in Health Services Management (NQF Level 8, Cape Peninsula University of Technology), a BTech in General Nursing with specialisations in Midwifery, Psychiatry, and Community Health. I served as a shift leader at Mitchell's Plain District Hospital before joining Medscheme Holdings — a company that described me, in its own reference documentation, as possessing 'depth of clinical knowledge,' an 'ability to de-escalate heated situations,' and a 'calm tone and demeanour.'</w:t>
      </w:r>
    </w:p>
    <w:p>
      <w:pPr>
        <w:spacing w:after="0" w:before="0"/>
      </w:pPr>
      <w:r>
        <w:t xml:space="preserve"/>
      </w:r>
    </w:p>
    <w:p>
      <w:pPr>
        <w:spacing w:after="60" w:before="60"/>
        <w:jc w:val="both"/>
      </w:pPr>
      <w:r>
        <w:rPr>
          <w:rFonts w:ascii="Arial" w:cs="Arial" w:eastAsia="Arial" w:hAnsi="Arial"/>
          <w:b w:val="false"/>
          <w:bCs w:val="false"/>
          <w:i w:val="false"/>
          <w:iCs w:val="false"/>
          <w:color w:val="2C2C2C"/>
          <w:sz w:val="22"/>
          <w:szCs w:val="22"/>
        </w:rPr>
        <w:t xml:space="preserve">I am also the founder of EthicHawks Forensic Governance and Compliance Consultancy, a firm specialising in forensic governance architecture, healthcare regulatory accountability, and the intersection of clinical expertise with institutional compliance. I am, by training and by conviction, a person who identifies governance failures precisely because I have studied how they operate and what they cost.</w:t>
      </w:r>
    </w:p>
    <w:p>
      <w:pPr>
        <w:pStyle w:val="Heading2"/>
        <w:pBdr>
          <w:left w:val="single" w:color="C9A84C" w:sz="12" w:space="6"/>
        </w:pBdr>
        <w:spacing w:after="80" w:before="240"/>
      </w:pPr>
      <w:r>
        <w:rPr>
          <w:rFonts w:ascii="Arial" w:cs="Arial" w:eastAsia="Arial" w:hAnsi="Arial"/>
          <w:b/>
          <w:bCs/>
          <w:color w:val="1B2A4A"/>
          <w:sz w:val="24"/>
          <w:szCs w:val="24"/>
        </w:rPr>
        <w:t xml:space="preserve">1.2  The Bait-and-Switch: Recruited as a Specialist, Contracted as a Coordinator</w:t>
      </w:r>
    </w:p>
    <w:p>
      <w:pPr>
        <w:spacing w:after="60" w:before="60"/>
        <w:jc w:val="both"/>
      </w:pPr>
      <w:r>
        <w:rPr>
          <w:rFonts w:ascii="Arial" w:cs="Arial" w:eastAsia="Arial" w:hAnsi="Arial"/>
          <w:b w:val="false"/>
          <w:bCs w:val="false"/>
          <w:i w:val="false"/>
          <w:iCs w:val="false"/>
          <w:color w:val="2C2C2C"/>
          <w:sz w:val="22"/>
          <w:szCs w:val="22"/>
        </w:rPr>
        <w:t xml:space="preserve">On 12 January 2024, I received an interview invitation for the position of 'Specialist: Care Manager' at Medscheme Holdings. On 29 January 2024, I received assessment instructions confirming my application for the 'Specialist: Care Manager' role. On 9 April 2024, I signed an employment contract — which designated my position as 'Care Coordinator,' Grade B4M1.</w:t>
      </w:r>
    </w:p>
    <w:p>
      <w:pPr>
        <w:spacing w:after="0" w:before="0"/>
      </w:pPr>
      <w:r>
        <w:t xml:space="preserve"/>
      </w:r>
    </w:p>
    <w:p>
      <w:pPr>
        <w:pBdr>
          <w:top w:val="single" w:color="C9A84C" w:sz="4"/>
          <w:bottom w:val="single" w:color="C9A84C" w:sz="4"/>
          <w:left w:val="thick" w:color="1B2A4A" w:sz="16"/>
          <w:right w:val="single" w:color="C9A84C" w:sz="4"/>
        </w:pBdr>
        <w:shd w:fill="FAF3E0" w:val="clear"/>
        <w:spacing w:after="80" w:before="80"/>
        <w:ind w:left="360" w:right="360"/>
      </w:pPr>
      <w:r>
        <w:rPr>
          <w:rFonts w:ascii="Arial" w:cs="Arial" w:eastAsia="Arial" w:hAnsi="Arial"/>
          <w:b/>
          <w:bCs/>
          <w:color w:val="1B2A4A"/>
          <w:sz w:val="22"/>
          <w:szCs w:val="22"/>
        </w:rPr>
        <w:t xml:space="preserve">KEY CONTRADICTION [C2]:  </w:t>
      </w:r>
      <w:r>
        <w:rPr>
          <w:rFonts w:ascii="Arial" w:cs="Arial" w:eastAsia="Arial" w:hAnsi="Arial"/>
          <w:color w:val="2C2C2C"/>
          <w:sz w:val="22"/>
          <w:szCs w:val="22"/>
        </w:rPr>
        <w:t xml:space="preserve">Recruited as Specialist (January 2024) — contracted as Care Coordinator (April 2024). This title suppression became the foundation for every subsequent misrepresentation, including the fraudulent Certificate of Service, the opposing affidavit's character attack, and the employer's B-BBEE compliance reports.</w:t>
      </w:r>
    </w:p>
    <w:p>
      <w:pPr>
        <w:spacing w:after="0" w:before="0"/>
      </w:pPr>
      <w:r>
        <w:t xml:space="preserve"/>
      </w:r>
    </w:p>
    <w:p>
      <w:pPr>
        <w:spacing w:after="60" w:before="60"/>
        <w:jc w:val="both"/>
      </w:pPr>
      <w:r>
        <w:rPr>
          <w:rFonts w:ascii="Arial" w:cs="Arial" w:eastAsia="Arial" w:hAnsi="Arial"/>
          <w:b w:val="false"/>
          <w:bCs w:val="false"/>
          <w:i w:val="false"/>
          <w:iCs w:val="false"/>
          <w:color w:val="2C2C2C"/>
          <w:sz w:val="22"/>
          <w:szCs w:val="22"/>
        </w:rPr>
        <w:t xml:space="preserve">Despite this contractual designation, I functioned at Specialist level throughout my employment. I served as Acting Chair of the EHS Committee and Lead First Aider for the second, third, and fourth floors of Medscheme's Cape Town premises (EHS-LEAD1, 25 July 2025). I developed and implemented a Continuing Professional Development programme (CPD1, April 2025) that the employer later incorporated without attribution. The title given to me on paper was never the role I performed — a fact that the employer exploited in its legal filings while simultaneously relying on my seniority to secure a High Court interdict against me.</w:t>
      </w:r>
    </w:p>
    <w:p>
      <w:pPr>
        <w:spacing w:after="0" w:before="0"/>
      </w:pPr>
      <w:r>
        <w:t xml:space="preserve"/>
      </w:r>
    </w:p>
    <w:p>
      <w:pPr>
        <w:pBdr>
          <w:bottom w:val="single" w:color="C9A84C" w:sz="8" w:space="4"/>
        </w:pBdr>
        <w:spacing w:after="80" w:before="80"/>
      </w:pPr>
    </w:p>
    <w:p>
      <w:pPr>
        <w:pStyle w:val="Heading1"/>
        <w:shd w:fill="1B2A4A" w:val="clear"/>
        <w:spacing w:after="120" w:before="320"/>
      </w:pPr>
      <w:r>
        <w:rPr>
          <w:rFonts w:ascii="Arial" w:cs="Arial" w:eastAsia="Arial" w:hAnsi="Arial"/>
          <w:b/>
          <w:bCs/>
          <w:color w:val="FFFFFF"/>
          <w:sz w:val="28"/>
          <w:szCs w:val="28"/>
        </w:rPr>
        <w:t xml:space="preserve">PART II — THE CHRONOLOGICAL RECORD: A DOCUMENTED CAMPAIGN</w:t>
      </w:r>
    </w:p>
    <w:p>
      <w:pPr>
        <w:spacing w:after="60" w:before="60"/>
        <w:jc w:val="both"/>
      </w:pPr>
      <w:r>
        <w:rPr>
          <w:rFonts w:ascii="Arial" w:cs="Arial" w:eastAsia="Arial" w:hAnsi="Arial"/>
          <w:b w:val="false"/>
          <w:bCs w:val="false"/>
          <w:i/>
          <w:iCs/>
          <w:color w:val="2C2C2C"/>
          <w:sz w:val="22"/>
          <w:szCs w:val="22"/>
        </w:rPr>
        <w:t xml:space="preserve">What follows is not a collection of isolated incidents. It is a twelve-month campaign, documented in 58 primary source documents, that escalated from administrative harassment to financial ruin, from character assassination to physical destitution, and from internal grievance to High Court proceedings. Each section below is anchored to named, filed evidentiary documents.</w:t>
      </w:r>
    </w:p>
    <w:p>
      <w:pPr>
        <w:pStyle w:val="Heading2"/>
        <w:pBdr>
          <w:left w:val="single" w:color="C9A84C" w:sz="12" w:space="6"/>
        </w:pBdr>
        <w:spacing w:after="80" w:before="240"/>
      </w:pPr>
      <w:r>
        <w:rPr>
          <w:rFonts w:ascii="Arial" w:cs="Arial" w:eastAsia="Arial" w:hAnsi="Arial"/>
          <w:b/>
          <w:bCs/>
          <w:color w:val="1B2A4A"/>
          <w:sz w:val="24"/>
          <w:szCs w:val="24"/>
        </w:rPr>
        <w:t xml:space="preserve">2.1  April – May 2025: The Opening Moves</w:t>
      </w:r>
    </w:p>
    <w:p>
      <w:pPr>
        <w:pStyle w:val="Heading3"/>
        <w:spacing w:after="60" w:before="180"/>
      </w:pPr>
      <w:r>
        <w:rPr>
          <w:rFonts w:ascii="Arial" w:cs="Arial" w:eastAsia="Arial" w:hAnsi="Arial"/>
          <w:b/>
          <w:bCs/>
          <w:color w:val="8B1A1A"/>
          <w:sz w:val="22"/>
          <w:szCs w:val="22"/>
        </w:rPr>
        <w:t xml:space="preserve">Mental Health Disclosure and Immediate Retaliation</w:t>
      </w:r>
    </w:p>
    <w:p>
      <w:pPr>
        <w:spacing w:after="60" w:before="60"/>
        <w:jc w:val="both"/>
      </w:pPr>
      <w:r>
        <w:rPr>
          <w:rFonts w:ascii="Arial" w:cs="Arial" w:eastAsia="Arial" w:hAnsi="Arial"/>
          <w:b w:val="false"/>
          <w:bCs w:val="false"/>
          <w:i w:val="false"/>
          <w:iCs w:val="false"/>
          <w:color w:val="2C2C2C"/>
          <w:sz w:val="22"/>
          <w:szCs w:val="22"/>
        </w:rPr>
        <w:t xml:space="preserve">On 16 May 2025, I formally disclosed to my employer that I had been diagnosed with severe depression and PTSD, supported by a letter from my treating psychiatrist, Dr Jacques Malan (FCPsych(SA)). The letter stated that I required inpatient treatment, that I had been forced to leave treatment early due to exhaustion of sick leave, and that I struggled to cope with daily tasks and occupational requirements. This was a formal, documented disclosure of a disability as defined under the Employment Equity Act.</w:t>
      </w:r>
    </w:p>
    <w:p>
      <w:pPr>
        <w:spacing w:after="0" w:before="0"/>
      </w:pPr>
      <w:r>
        <w:t xml:space="preserve"/>
      </w:r>
    </w:p>
    <w:p>
      <w:pPr>
        <w:spacing w:after="60" w:before="60"/>
        <w:jc w:val="both"/>
      </w:pPr>
      <w:r>
        <w:rPr>
          <w:rFonts w:ascii="Arial" w:cs="Arial" w:eastAsia="Arial" w:hAnsi="Arial"/>
          <w:b w:val="false"/>
          <w:bCs w:val="false"/>
          <w:i w:val="false"/>
          <w:iCs w:val="false"/>
          <w:color w:val="2C2C2C"/>
          <w:sz w:val="22"/>
          <w:szCs w:val="22"/>
        </w:rPr>
        <w:t xml:space="preserve">The employer's response? Silence — followed by adverse action. Not a single accommodation was offered. Instead, the employer counted 67 days of absence over 13 months without any engagement (AMR1, 24 June 2025). My absences — directly caused by a documented psychiatric condition — were weaponised against me.</w:t>
      </w:r>
    </w:p>
    <w:p>
      <w:pPr>
        <w:spacing w:after="0" w:before="0"/>
      </w:pPr>
      <w:r>
        <w:t xml:space="preserve"/>
      </w:r>
    </w:p>
    <w:p>
      <w:pPr>
        <w:spacing w:after="40" w:before="40"/>
        <w:ind w:left="360"/>
      </w:pPr>
      <w:r>
        <w:rPr>
          <w:rFonts w:ascii="Arial" w:cs="Arial" w:eastAsia="Arial" w:hAnsi="Arial"/>
          <w:b/>
          <w:bCs/>
          <w:color w:val="FFFFFF"/>
          <w:sz w:val="20"/>
          <w:szCs w:val="20"/>
          <w:highlight w:val="darkRed"/>
          <w:highlightCs w:val="darkRed"/>
        </w:rPr>
        <w:t xml:space="preserve">[EEA s15]  </w:t>
      </w:r>
      <w:r>
        <w:rPr>
          <w:rFonts w:ascii="Arial" w:cs="Arial" w:eastAsia="Arial" w:hAnsi="Arial"/>
          <w:color w:val="2C2C2C"/>
          <w:sz w:val="20"/>
          <w:szCs w:val="20"/>
        </w:rPr>
        <w:t xml:space="preserve">Failure to provide reasonable accommodation for a documented disability</w:t>
      </w:r>
    </w:p>
    <w:p>
      <w:pPr>
        <w:spacing w:after="40" w:before="40"/>
        <w:ind w:left="360"/>
      </w:pPr>
      <w:r>
        <w:rPr>
          <w:rFonts w:ascii="Arial" w:cs="Arial" w:eastAsia="Arial" w:hAnsi="Arial"/>
          <w:b/>
          <w:bCs/>
          <w:color w:val="FFFFFF"/>
          <w:sz w:val="20"/>
          <w:szCs w:val="20"/>
          <w:highlight w:val="darkRed"/>
          <w:highlightCs w:val="darkRed"/>
        </w:rPr>
        <w:t xml:space="preserve">[EEA s6]  </w:t>
      </w:r>
      <w:r>
        <w:rPr>
          <w:rFonts w:ascii="Arial" w:cs="Arial" w:eastAsia="Arial" w:hAnsi="Arial"/>
          <w:color w:val="2C2C2C"/>
          <w:sz w:val="20"/>
          <w:szCs w:val="20"/>
        </w:rPr>
        <w:t xml:space="preserve">Discrimination based on disability</w:t>
      </w:r>
    </w:p>
    <w:p>
      <w:pPr>
        <w:spacing w:after="40" w:before="40"/>
        <w:ind w:left="360"/>
      </w:pPr>
      <w:r>
        <w:rPr>
          <w:rFonts w:ascii="Arial" w:cs="Arial" w:eastAsia="Arial" w:hAnsi="Arial"/>
          <w:b/>
          <w:bCs/>
          <w:color w:val="FFFFFF"/>
          <w:sz w:val="20"/>
          <w:szCs w:val="20"/>
          <w:highlight w:val="darkRed"/>
          <w:highlightCs w:val="darkRed"/>
        </w:rPr>
        <w:t xml:space="preserve">[ULP]  </w:t>
      </w:r>
      <w:r>
        <w:rPr>
          <w:rFonts w:ascii="Arial" w:cs="Arial" w:eastAsia="Arial" w:hAnsi="Arial"/>
          <w:color w:val="2C2C2C"/>
          <w:sz w:val="20"/>
          <w:szCs w:val="20"/>
        </w:rPr>
        <w:t xml:space="preserve">Unfair conduct regarding leave — counting absences without accommodation</w:t>
      </w:r>
    </w:p>
    <w:p>
      <w:pPr>
        <w:pStyle w:val="Heading3"/>
        <w:spacing w:after="60" w:before="180"/>
      </w:pPr>
      <w:r>
        <w:rPr>
          <w:rFonts w:ascii="Arial" w:cs="Arial" w:eastAsia="Arial" w:hAnsi="Arial"/>
          <w:b/>
          <w:bCs/>
          <w:color w:val="8B1A1A"/>
          <w:sz w:val="22"/>
          <w:szCs w:val="22"/>
        </w:rPr>
        <w:t xml:space="preserve">The Staggering Refusal — First Evidence of Financial Cruelty</w:t>
      </w:r>
    </w:p>
    <w:p>
      <w:pPr>
        <w:spacing w:after="60" w:before="60"/>
        <w:jc w:val="both"/>
      </w:pPr>
      <w:r>
        <w:rPr>
          <w:rFonts w:ascii="Arial" w:cs="Arial" w:eastAsia="Arial" w:hAnsi="Arial"/>
          <w:b w:val="false"/>
          <w:bCs w:val="false"/>
          <w:i w:val="false"/>
          <w:iCs w:val="false"/>
          <w:color w:val="2C2C2C"/>
          <w:sz w:val="22"/>
          <w:szCs w:val="22"/>
        </w:rPr>
        <w:t xml:space="preserve">On 16 April 2025 — a month before my mental health disclosure — I had already made a request to stagger salary deductions relating to my absence. The response I received was unequivocal (LIE1 / do not apply staggering 16 apr25.png):</w:t>
      </w:r>
    </w:p>
    <w:p>
      <w:pPr>
        <w:pBdr>
          <w:left w:val="single" w:color="8B1A1A" w:sz="12" w:space="8"/>
        </w:pBdr>
        <w:shd w:fill="FAE5E5" w:val="clear"/>
        <w:spacing w:after="80" w:before="80"/>
        <w:ind w:left="720" w:right="720"/>
        <w:jc w:val="both"/>
      </w:pPr>
      <w:r>
        <w:rPr>
          <w:rFonts w:ascii="Arial" w:cs="Arial" w:eastAsia="Arial" w:hAnsi="Arial"/>
          <w:i/>
          <w:iCs/>
          <w:color w:val="8B1A1A"/>
          <w:sz w:val="22"/>
          <w:szCs w:val="22"/>
        </w:rPr>
        <w:t xml:space="preserve">"We do not apply staggering of money owed."</w:t>
      </w:r>
    </w:p>
    <w:p>
      <w:pPr>
        <w:spacing w:after="60" w:before="60"/>
        <w:jc w:val="both"/>
      </w:pPr>
      <w:r>
        <w:rPr>
          <w:rFonts w:ascii="Arial" w:cs="Arial" w:eastAsia="Arial" w:hAnsi="Arial"/>
          <w:b w:val="false"/>
          <w:bCs w:val="false"/>
          <w:i/>
          <w:iCs/>
          <w:color w:val="2C2C2C"/>
          <w:sz w:val="22"/>
          <w:szCs w:val="22"/>
        </w:rPr>
        <w:t xml:space="preserve">Company policy, as I would later discover in a document sent to me on 24 July 2025 (POL1), explicitly stated that staggering was permitted. The refusal on 16 April was not policy compliance — it was targeted financial harm.</w:t>
      </w:r>
    </w:p>
    <w:p>
      <w:pPr>
        <w:pBdr>
          <w:top w:val="single" w:color="C9A84C" w:sz="4"/>
          <w:bottom w:val="single" w:color="C9A84C" w:sz="4"/>
          <w:left w:val="thick" w:color="1B2A4A" w:sz="16"/>
          <w:right w:val="single" w:color="C9A84C" w:sz="4"/>
        </w:pBdr>
        <w:shd w:fill="FAF3E0" w:val="clear"/>
        <w:spacing w:after="80" w:before="80"/>
        <w:ind w:left="360" w:right="360"/>
      </w:pPr>
      <w:r>
        <w:rPr>
          <w:rFonts w:ascii="Arial" w:cs="Arial" w:eastAsia="Arial" w:hAnsi="Arial"/>
          <w:b/>
          <w:bCs/>
          <w:color w:val="1B2A4A"/>
          <w:sz w:val="22"/>
          <w:szCs w:val="22"/>
        </w:rPr>
        <w:t xml:space="preserve">CRITICAL CONTRADICTION [C1]:  </w:t>
      </w:r>
      <w:r>
        <w:rPr>
          <w:rFonts w:ascii="Arial" w:cs="Arial" w:eastAsia="Arial" w:hAnsi="Arial"/>
          <w:color w:val="2C2C2C"/>
          <w:sz w:val="22"/>
          <w:szCs w:val="22"/>
        </w:rPr>
        <w:t xml:space="preserve">16 April 2025: 'We do not apply staggering.' 24 July 2025: Company policy confirms staggering is allowed. The deduction was imposed in bad faith, in direct contravention of the employer's own policy.</w:t>
      </w:r>
    </w:p>
    <w:p>
      <w:pPr>
        <w:spacing w:after="0" w:before="0"/>
      </w:pPr>
      <w:r>
        <w:t xml:space="preserve"/>
      </w:r>
    </w:p>
    <w:p>
      <w:pPr>
        <w:spacing w:after="40" w:before="40"/>
        <w:ind w:left="360"/>
      </w:pPr>
      <w:r>
        <w:rPr>
          <w:rFonts w:ascii="Arial" w:cs="Arial" w:eastAsia="Arial" w:hAnsi="Arial"/>
          <w:b/>
          <w:bCs/>
          <w:color w:val="FFFFFF"/>
          <w:sz w:val="20"/>
          <w:szCs w:val="20"/>
          <w:highlight w:val="darkRed"/>
          <w:highlightCs w:val="darkRed"/>
        </w:rPr>
        <w:t xml:space="preserve">[BCEA s34]  </w:t>
      </w:r>
      <w:r>
        <w:rPr>
          <w:rFonts w:ascii="Arial" w:cs="Arial" w:eastAsia="Arial" w:hAnsi="Arial"/>
          <w:color w:val="2C2C2C"/>
          <w:sz w:val="20"/>
          <w:szCs w:val="20"/>
        </w:rPr>
        <w:t xml:space="preserve">Deduction without written consent or prior consultation</w:t>
      </w:r>
    </w:p>
    <w:p>
      <w:pPr>
        <w:spacing w:after="40" w:before="40"/>
        <w:ind w:left="360"/>
      </w:pPr>
      <w:r>
        <w:rPr>
          <w:rFonts w:ascii="Arial" w:cs="Arial" w:eastAsia="Arial" w:hAnsi="Arial"/>
          <w:b/>
          <w:bCs/>
          <w:color w:val="FFFFFF"/>
          <w:sz w:val="20"/>
          <w:szCs w:val="20"/>
          <w:highlight w:val="darkRed"/>
          <w:highlightCs w:val="darkRed"/>
        </w:rPr>
        <w:t xml:space="preserve">[SAL]  </w:t>
      </w:r>
      <w:r>
        <w:rPr>
          <w:rFonts w:ascii="Arial" w:cs="Arial" w:eastAsia="Arial" w:hAnsi="Arial"/>
          <w:color w:val="2C2C2C"/>
          <w:sz w:val="20"/>
          <w:szCs w:val="20"/>
        </w:rPr>
        <w:t xml:space="preserve">Unlawful salary deduction</w:t>
      </w:r>
    </w:p>
    <w:p>
      <w:pPr>
        <w:pStyle w:val="Heading2"/>
        <w:pBdr>
          <w:left w:val="single" w:color="C9A84C" w:sz="12" w:space="6"/>
        </w:pBdr>
        <w:spacing w:after="80" w:before="240"/>
      </w:pPr>
      <w:r>
        <w:rPr>
          <w:rFonts w:ascii="Arial" w:cs="Arial" w:eastAsia="Arial" w:hAnsi="Arial"/>
          <w:b/>
          <w:bCs/>
          <w:color w:val="1B2A4A"/>
          <w:sz w:val="24"/>
          <w:szCs w:val="24"/>
        </w:rPr>
        <w:t xml:space="preserve">2.2  June – July 2025: The Financial Weapon</w:t>
      </w:r>
    </w:p>
    <w:p>
      <w:pPr>
        <w:pStyle w:val="Heading3"/>
        <w:spacing w:after="60" w:before="180"/>
      </w:pPr>
      <w:r>
        <w:rPr>
          <w:rFonts w:ascii="Arial" w:cs="Arial" w:eastAsia="Arial" w:hAnsi="Arial"/>
          <w:b/>
          <w:bCs/>
          <w:color w:val="8B1A1A"/>
          <w:sz w:val="22"/>
          <w:szCs w:val="22"/>
        </w:rPr>
        <w:t xml:space="preserve">The 40.47% Deduction — Weaponised Poverty</w:t>
      </w:r>
    </w:p>
    <w:p>
      <w:pPr>
        <w:spacing w:after="60" w:before="60"/>
        <w:jc w:val="both"/>
      </w:pPr>
      <w:r>
        <w:rPr>
          <w:rFonts w:ascii="Arial" w:cs="Arial" w:eastAsia="Arial" w:hAnsi="Arial"/>
          <w:b w:val="false"/>
          <w:bCs w:val="false"/>
          <w:i w:val="false"/>
          <w:iCs w:val="false"/>
          <w:color w:val="2C2C2C"/>
          <w:sz w:val="22"/>
          <w:szCs w:val="22"/>
        </w:rPr>
        <w:t xml:space="preserve">My monthly Cost to Company was R42,796.13, as confirmed in ANI1 (21 April 2025). On 31 July 2025 — pay day — the employer executed a consolidated, unconsented deduction of R14,811.77 for unpaid leave, plus additional deductions totalling R6,097.75, resulting in a net pay of R15,679.29. This represents a deduction of 40.47% of my normal earnings — more than double the legal maximum of 25% under Section 34(2) of the Basic Conditions of Employment Act.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Amount (ZAR)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Normal Gross Earnings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R21,777.04</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Total Deductions Applied</w:t>
            </w:r>
          </w:p>
        </w:tc>
        <w:tc>
          <w:tcPr>
            <w:tcW w:type="dxa" w:w="5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R14,811.77 + additional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Net Pay Received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R15,679.29</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Percentage Deducted</w:t>
            </w:r>
          </w:p>
        </w:tc>
        <w:tc>
          <w:tcPr>
            <w:tcW w:type="dxa" w:w="5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40.47%</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BCEA Maximum Permitted (s34(2))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25%</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Amount in Excess of Legal Maximum</w:t>
            </w:r>
          </w:p>
        </w:tc>
        <w:tc>
          <w:tcPr>
            <w:tcW w:type="dxa" w:w="5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~R3,300+ excess deduction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SARS/UIF Declared Salary (same month)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R27,725.66</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Discrepancy (Payslip vs Declaration)</w:t>
            </w:r>
          </w:p>
        </w:tc>
        <w:tc>
          <w:tcPr>
            <w:tcW w:type="dxa" w:w="5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R5,948.62 — potential statutory misrepresentation</w:t>
            </w:r>
          </w:p>
        </w:tc>
      </w:tr>
    </w:tbl>
    <w:p>
      <w:pPr>
        <w:spacing w:after="0" w:before="0"/>
      </w:pPr>
      <w:r>
        <w:t xml:space="preserve"/>
      </w:r>
    </w:p>
    <w:p>
      <w:pPr>
        <w:spacing w:after="60" w:before="60"/>
        <w:jc w:val="both"/>
      </w:pPr>
      <w:r>
        <w:rPr>
          <w:rFonts w:ascii="Arial" w:cs="Arial" w:eastAsia="Arial" w:hAnsi="Arial"/>
          <w:b w:val="false"/>
          <w:bCs w:val="false"/>
          <w:i w:val="false"/>
          <w:iCs w:val="false"/>
          <w:color w:val="2C2C2C"/>
          <w:sz w:val="22"/>
          <w:szCs w:val="22"/>
        </w:rPr>
        <w:t xml:space="preserve">This deduction was executed without prior consultation, without written consent, in a single pay-cycle without staggering, and accompanied by the following statement from my manager (DER1, 11 November 2025):</w:t>
      </w:r>
    </w:p>
    <w:p>
      <w:pPr>
        <w:pBdr>
          <w:left w:val="single" w:color="8B1A1A" w:sz="12" w:space="8"/>
        </w:pBdr>
        <w:shd w:fill="FAE5E5" w:val="clear"/>
        <w:spacing w:after="80" w:before="80"/>
        <w:ind w:left="720" w:right="720"/>
        <w:jc w:val="both"/>
      </w:pPr>
      <w:r>
        <w:rPr>
          <w:rFonts w:ascii="Arial" w:cs="Arial" w:eastAsia="Arial" w:hAnsi="Arial"/>
          <w:i/>
          <w:iCs/>
          <w:color w:val="8B1A1A"/>
          <w:sz w:val="22"/>
          <w:szCs w:val="22"/>
        </w:rPr>
        <w:t xml:space="preserve">"The company is not a loan company. You would not feel the missing chunk in your salary because you receive online deliveries weekly."</w:t>
      </w:r>
    </w:p>
    <w:p>
      <w:pPr>
        <w:spacing w:after="60" w:before="60"/>
        <w:jc w:val="both"/>
      </w:pPr>
      <w:r>
        <w:rPr>
          <w:rFonts w:ascii="Arial" w:cs="Arial" w:eastAsia="Arial" w:hAnsi="Arial"/>
          <w:b/>
          <w:bCs/>
          <w:i w:val="false"/>
          <w:iCs w:val="false"/>
          <w:color w:val="2C2C2C"/>
          <w:sz w:val="22"/>
          <w:szCs w:val="22"/>
        </w:rPr>
        <w:t xml:space="preserve">This is not a neutral administrative comment. This is a statement of contempt directed at a disabled employee, in financial crisis, by a person in a position of authority. It was made in the context of a formal complaint proceeding and constitutes occupational harassment.</w:t>
      </w:r>
    </w:p>
    <w:p>
      <w:pPr>
        <w:spacing w:after="0" w:before="0"/>
      </w:pPr>
      <w:r>
        <w:t xml:space="preserve"/>
      </w:r>
    </w:p>
    <w:p>
      <w:pPr>
        <w:spacing w:after="40" w:before="40"/>
        <w:ind w:left="360"/>
      </w:pPr>
      <w:r>
        <w:rPr>
          <w:rFonts w:ascii="Arial" w:cs="Arial" w:eastAsia="Arial" w:hAnsi="Arial"/>
          <w:b/>
          <w:bCs/>
          <w:color w:val="FFFFFF"/>
          <w:sz w:val="20"/>
          <w:szCs w:val="20"/>
          <w:highlight w:val="darkRed"/>
          <w:highlightCs w:val="darkRed"/>
        </w:rPr>
        <w:t xml:space="preserve">[BCEA s34]  </w:t>
      </w:r>
      <w:r>
        <w:rPr>
          <w:rFonts w:ascii="Arial" w:cs="Arial" w:eastAsia="Arial" w:hAnsi="Arial"/>
          <w:color w:val="2C2C2C"/>
          <w:sz w:val="20"/>
          <w:szCs w:val="20"/>
        </w:rPr>
        <w:t xml:space="preserve">Deduction exceeding 25% statutory cap — no written consent — no consultation</w:t>
      </w:r>
    </w:p>
    <w:p>
      <w:pPr>
        <w:spacing w:after="40" w:before="40"/>
        <w:ind w:left="360"/>
      </w:pPr>
      <w:r>
        <w:rPr>
          <w:rFonts w:ascii="Arial" w:cs="Arial" w:eastAsia="Arial" w:hAnsi="Arial"/>
          <w:b/>
          <w:bCs/>
          <w:color w:val="FFFFFF"/>
          <w:sz w:val="20"/>
          <w:szCs w:val="20"/>
          <w:highlight w:val="darkRed"/>
          <w:highlightCs w:val="darkRed"/>
        </w:rPr>
        <w:t xml:space="preserve">[SAL]  </w:t>
      </w:r>
      <w:r>
        <w:rPr>
          <w:rFonts w:ascii="Arial" w:cs="Arial" w:eastAsia="Arial" w:hAnsi="Arial"/>
          <w:color w:val="2C2C2C"/>
          <w:sz w:val="20"/>
          <w:szCs w:val="20"/>
        </w:rPr>
        <w:t xml:space="preserve">Unlawful salary deduction R14,811.77</w:t>
      </w:r>
    </w:p>
    <w:p>
      <w:pPr>
        <w:spacing w:after="40" w:before="40"/>
        <w:ind w:left="360"/>
      </w:pPr>
      <w:r>
        <w:rPr>
          <w:rFonts w:ascii="Arial" w:cs="Arial" w:eastAsia="Arial" w:hAnsi="Arial"/>
          <w:b/>
          <w:bCs/>
          <w:color w:val="FFFFFF"/>
          <w:sz w:val="20"/>
          <w:szCs w:val="20"/>
          <w:highlight w:val="darkRed"/>
          <w:highlightCs w:val="darkRed"/>
        </w:rPr>
        <w:t xml:space="preserve">[GRC1]  </w:t>
      </w:r>
      <w:r>
        <w:rPr>
          <w:rFonts w:ascii="Arial" w:cs="Arial" w:eastAsia="Arial" w:hAnsi="Arial"/>
          <w:color w:val="2C2C2C"/>
          <w:sz w:val="20"/>
          <w:szCs w:val="20"/>
        </w:rPr>
        <w:t xml:space="preserve">Full overlap: ULP + Protected Disclosure + Detriment (PS2, DER1)</w:t>
      </w:r>
    </w:p>
    <w:p>
      <w:pPr>
        <w:pStyle w:val="Heading2"/>
        <w:pBdr>
          <w:left w:val="single" w:color="C9A84C" w:sz="12" w:space="6"/>
        </w:pBdr>
        <w:spacing w:after="80" w:before="240"/>
      </w:pPr>
      <w:r>
        <w:rPr>
          <w:rFonts w:ascii="Arial" w:cs="Arial" w:eastAsia="Arial" w:hAnsi="Arial"/>
          <w:b/>
          <w:bCs/>
          <w:color w:val="1B2A4A"/>
          <w:sz w:val="24"/>
          <w:szCs w:val="24"/>
        </w:rPr>
        <w:t xml:space="preserve">2.3  September – October 2025: Identity Under Attack</w:t>
      </w:r>
    </w:p>
    <w:p>
      <w:pPr>
        <w:pStyle w:val="Heading3"/>
        <w:spacing w:after="60" w:before="180"/>
      </w:pPr>
      <w:r>
        <w:rPr>
          <w:rFonts w:ascii="Arial" w:cs="Arial" w:eastAsia="Arial" w:hAnsi="Arial"/>
          <w:b/>
          <w:bCs/>
          <w:color w:val="8B1A1A"/>
          <w:sz w:val="22"/>
          <w:szCs w:val="22"/>
        </w:rPr>
        <w:t xml:space="preserve">The 'Wilma' Incident — Deliberate Identity Harassment</w:t>
      </w:r>
    </w:p>
    <w:p>
      <w:pPr>
        <w:spacing w:after="60" w:before="60"/>
        <w:jc w:val="both"/>
      </w:pPr>
      <w:r>
        <w:rPr>
          <w:rFonts w:ascii="Arial" w:cs="Arial" w:eastAsia="Arial" w:hAnsi="Arial"/>
          <w:b w:val="false"/>
          <w:bCs w:val="false"/>
          <w:i w:val="false"/>
          <w:iCs w:val="false"/>
          <w:color w:val="2C2C2C"/>
          <w:sz w:val="22"/>
          <w:szCs w:val="22"/>
        </w:rPr>
        <w:t xml:space="preserve">On 23 September 2025, my manager, Mary-Ann Jones, posted a version of my name — 'Wilma' instead of 'Wilbur' — in a work Microsoft Teams group. This was done knowingly, after working hours, deliberately, and in full awareness that I am gay. As I stated in my formal complaint (Gender Identity Discrimination Formal Complaint.pdf, 25 September 2025): 'This was a deliberate act intended to mock and embarrass me.'</w:t>
      </w:r>
    </w:p>
    <w:p>
      <w:pPr>
        <w:spacing w:after="0" w:before="0"/>
      </w:pPr>
      <w:r>
        <w:t xml:space="preserve"/>
      </w:r>
    </w:p>
    <w:p>
      <w:pPr>
        <w:spacing w:after="60" w:before="60"/>
        <w:jc w:val="both"/>
      </w:pPr>
      <w:r>
        <w:rPr>
          <w:rFonts w:ascii="Arial" w:cs="Arial" w:eastAsia="Arial" w:hAnsi="Arial"/>
          <w:b w:val="false"/>
          <w:bCs w:val="false"/>
          <w:i w:val="false"/>
          <w:iCs w:val="false"/>
          <w:color w:val="2C2C2C"/>
          <w:sz w:val="22"/>
          <w:szCs w:val="22"/>
        </w:rPr>
        <w:t xml:space="preserve">The timing was calculated. The post was made after hours, immediately before Heritage Day (24 September), and the manager then took two consecutive days off — ensuring I could not address it immediately. This is not a typo. This is premeditation.</w:t>
      </w:r>
    </w:p>
    <w:p>
      <w:pPr>
        <w:pBdr>
          <w:left w:val="single" w:color="8B1A1A" w:sz="12" w:space="8"/>
        </w:pBdr>
        <w:shd w:fill="FAE5E5" w:val="clear"/>
        <w:spacing w:after="80" w:before="80"/>
        <w:ind w:left="720" w:right="720"/>
        <w:jc w:val="both"/>
      </w:pPr>
      <w:r>
        <w:rPr>
          <w:rFonts w:ascii="Arial" w:cs="Arial" w:eastAsia="Arial" w:hAnsi="Arial"/>
          <w:i/>
          <w:iCs/>
          <w:color w:val="8B1A1A"/>
          <w:sz w:val="22"/>
          <w:szCs w:val="22"/>
        </w:rPr>
        <w:t xml:space="preserve">"The issue is now considered resolved... the matter is a typo."</w:t>
      </w:r>
    </w:p>
    <w:p>
      <w:pPr>
        <w:spacing w:after="60" w:before="60"/>
        <w:jc w:val="both"/>
      </w:pPr>
      <w:r>
        <w:rPr>
          <w:rFonts w:ascii="Arial" w:cs="Arial" w:eastAsia="Arial" w:hAnsi="Arial"/>
          <w:b/>
          <w:bCs/>
          <w:i w:val="false"/>
          <w:iCs w:val="false"/>
          <w:color w:val="2C2C2C"/>
          <w:sz w:val="22"/>
          <w:szCs w:val="22"/>
        </w:rPr>
        <w:t xml:space="preserve">This was the response of Senior Manager Mapule Mashele, delivered on 1 October 2025 (TYP1), one week after I filed a formal complaint. The 'investigation' consisted of whitewashing: the complaint was declared a 'typo,' the case was closed, and I was instructed to remain in the same manager's team. No disciplinary action was taken. No apology was issued.</w:t>
      </w:r>
    </w:p>
    <w:p>
      <w:pPr>
        <w:spacing w:after="0" w:before="0"/>
      </w:pPr>
      <w:r>
        <w:t xml:space="preserve"/>
      </w:r>
    </w:p>
    <w:p>
      <w:pPr>
        <w:pBdr>
          <w:top w:val="single" w:color="C9A84C" w:sz="4"/>
          <w:bottom w:val="single" w:color="C9A84C" w:sz="4"/>
          <w:left w:val="thick" w:color="1B2A4A" w:sz="16"/>
          <w:right w:val="single" w:color="C9A84C" w:sz="4"/>
        </w:pBdr>
        <w:shd w:fill="FAF3E0" w:val="clear"/>
        <w:spacing w:after="80" w:before="80"/>
        <w:ind w:left="360" w:right="360"/>
      </w:pPr>
      <w:r>
        <w:rPr>
          <w:rFonts w:ascii="Arial" w:cs="Arial" w:eastAsia="Arial" w:hAnsi="Arial"/>
          <w:b/>
          <w:bCs/>
          <w:color w:val="1B2A4A"/>
          <w:sz w:val="22"/>
          <w:szCs w:val="22"/>
        </w:rPr>
        <w:t xml:space="preserve">HR PROMISE vs. ACTION [C4]:  </w:t>
      </w:r>
      <w:r>
        <w:rPr>
          <w:rFonts w:ascii="Arial" w:cs="Arial" w:eastAsia="Arial" w:hAnsi="Arial"/>
          <w:color w:val="2C2C2C"/>
          <w:sz w:val="22"/>
          <w:szCs w:val="22"/>
        </w:rPr>
        <w:t xml:space="preserve">25 September: HR confirms 'You will not be required to meet with the manager you have raised concerns about.' 29 September: The same accused manager submits and approves unpaid half-day leave on my behalf — for the day I reported the discrimination. 1 October: I am told to remain under the same manager.</w:t>
      </w:r>
    </w:p>
    <w:p>
      <w:pPr>
        <w:spacing w:after="0" w:before="0"/>
      </w:pPr>
      <w:r>
        <w:t xml:space="preserve"/>
      </w:r>
    </w:p>
    <w:p>
      <w:pPr>
        <w:spacing w:after="40" w:before="40"/>
        <w:ind w:left="360"/>
      </w:pPr>
      <w:r>
        <w:rPr>
          <w:rFonts w:ascii="Arial" w:cs="Arial" w:eastAsia="Arial" w:hAnsi="Arial"/>
          <w:b/>
          <w:bCs/>
          <w:color w:val="FFFFFF"/>
          <w:sz w:val="20"/>
          <w:szCs w:val="20"/>
          <w:highlight w:val="darkRed"/>
          <w:highlightCs w:val="darkRed"/>
        </w:rPr>
        <w:t xml:space="preserve">[EEA s6]  </w:t>
      </w:r>
      <w:r>
        <w:rPr>
          <w:rFonts w:ascii="Arial" w:cs="Arial" w:eastAsia="Arial" w:hAnsi="Arial"/>
          <w:color w:val="2C2C2C"/>
          <w:sz w:val="20"/>
          <w:szCs w:val="20"/>
        </w:rPr>
        <w:t xml:space="preserve">Sexual orientation / gender identity harassment — 'Wilma' incident</w:t>
      </w:r>
    </w:p>
    <w:p>
      <w:pPr>
        <w:spacing w:after="40" w:before="40"/>
        <w:ind w:left="360"/>
      </w:pPr>
      <w:r>
        <w:rPr>
          <w:rFonts w:ascii="Arial" w:cs="Arial" w:eastAsia="Arial" w:hAnsi="Arial"/>
          <w:b/>
          <w:bCs/>
          <w:color w:val="FFFFFF"/>
          <w:sz w:val="20"/>
          <w:szCs w:val="20"/>
          <w:highlight w:val="darkRed"/>
          <w:highlightCs w:val="darkRed"/>
        </w:rPr>
        <w:t xml:space="preserve">[HAR]  </w:t>
      </w:r>
      <w:r>
        <w:rPr>
          <w:rFonts w:ascii="Arial" w:cs="Arial" w:eastAsia="Arial" w:hAnsi="Arial"/>
          <w:color w:val="2C2C2C"/>
          <w:sz w:val="20"/>
          <w:szCs w:val="20"/>
        </w:rPr>
        <w:t xml:space="preserve">Harassment as a form of unfair discrimination</w:t>
      </w:r>
    </w:p>
    <w:p>
      <w:pPr>
        <w:spacing w:after="40" w:before="40"/>
        <w:ind w:left="360"/>
      </w:pPr>
      <w:r>
        <w:rPr>
          <w:rFonts w:ascii="Arial" w:cs="Arial" w:eastAsia="Arial" w:hAnsi="Arial"/>
          <w:b/>
          <w:bCs/>
          <w:color w:val="FFFFFF"/>
          <w:sz w:val="20"/>
          <w:szCs w:val="20"/>
          <w:highlight w:val="darkRed"/>
          <w:highlightCs w:val="darkRed"/>
        </w:rPr>
        <w:t xml:space="preserve">[DET]  </w:t>
      </w:r>
      <w:r>
        <w:rPr>
          <w:rFonts w:ascii="Arial" w:cs="Arial" w:eastAsia="Arial" w:hAnsi="Arial"/>
          <w:color w:val="2C2C2C"/>
          <w:sz w:val="20"/>
          <w:szCs w:val="20"/>
        </w:rPr>
        <w:t xml:space="preserve">Unpaid leave logged as detriment for reporting discrimination</w:t>
      </w:r>
    </w:p>
    <w:p>
      <w:pPr>
        <w:spacing w:after="40" w:before="40"/>
        <w:ind w:left="360"/>
      </w:pPr>
      <w:r>
        <w:rPr>
          <w:rFonts w:ascii="Arial" w:cs="Arial" w:eastAsia="Arial" w:hAnsi="Arial"/>
          <w:b/>
          <w:bCs/>
          <w:color w:val="FFFFFF"/>
          <w:sz w:val="20"/>
          <w:szCs w:val="20"/>
          <w:highlight w:val="darkRed"/>
          <w:highlightCs w:val="darkRed"/>
        </w:rPr>
        <w:t xml:space="preserve">[PROC]  </w:t>
      </w:r>
      <w:r>
        <w:rPr>
          <w:rFonts w:ascii="Arial" w:cs="Arial" w:eastAsia="Arial" w:hAnsi="Arial"/>
          <w:color w:val="2C2C2C"/>
          <w:sz w:val="20"/>
          <w:szCs w:val="20"/>
        </w:rPr>
        <w:t xml:space="preserve">Whitewashing — HR broken promise — de-escalation to perpetrator</w:t>
      </w:r>
    </w:p>
    <w:p>
      <w:pPr>
        <w:pStyle w:val="Heading2"/>
        <w:pBdr>
          <w:left w:val="single" w:color="C9A84C" w:sz="12" w:space="6"/>
        </w:pBdr>
        <w:spacing w:after="80" w:before="240"/>
      </w:pPr>
      <w:r>
        <w:rPr>
          <w:rFonts w:ascii="Arial" w:cs="Arial" w:eastAsia="Arial" w:hAnsi="Arial"/>
          <w:b/>
          <w:bCs/>
          <w:color w:val="1B2A4A"/>
          <w:sz w:val="24"/>
          <w:szCs w:val="24"/>
        </w:rPr>
        <w:t xml:space="preserve">2.4  November 2025: Escalation and Institutional Silence</w:t>
      </w:r>
    </w:p>
    <w:p>
      <w:pPr>
        <w:pStyle w:val="Heading3"/>
        <w:spacing w:after="60" w:before="180"/>
      </w:pPr>
      <w:r>
        <w:rPr>
          <w:rFonts w:ascii="Arial" w:cs="Arial" w:eastAsia="Arial" w:hAnsi="Arial"/>
          <w:b/>
          <w:bCs/>
          <w:color w:val="8B1A1A"/>
          <w:sz w:val="22"/>
          <w:szCs w:val="22"/>
        </w:rPr>
        <w:t xml:space="preserve">Formal Grievance and 30+ Days of No Response</w:t>
      </w:r>
    </w:p>
    <w:p>
      <w:pPr>
        <w:spacing w:after="60" w:before="60"/>
        <w:jc w:val="both"/>
      </w:pPr>
      <w:r>
        <w:rPr>
          <w:rFonts w:ascii="Arial" w:cs="Arial" w:eastAsia="Arial" w:hAnsi="Arial"/>
          <w:b w:val="false"/>
          <w:bCs w:val="false"/>
          <w:i w:val="false"/>
          <w:iCs w:val="false"/>
          <w:color w:val="2C2C2C"/>
          <w:sz w:val="22"/>
          <w:szCs w:val="22"/>
        </w:rPr>
        <w:t xml:space="preserve">On 2 November 2025, I filed a comprehensive formal grievance documenting all incidents to date (FG2 — Evidence of Malicious Intent, Constructive Dismissal, and Hostile Work Environment by Mary-Ann Jones). I simultaneously filed an Impact Statement (IMP1) describing the chronic stress, anxiety, fear of initiative, inability to seek clarification, and isolation I was experiencing as a direct result of my manager's conduct.</w:t>
      </w:r>
    </w:p>
    <w:p>
      <w:pPr>
        <w:spacing w:after="0" w:before="0"/>
      </w:pPr>
      <w:r>
        <w:t xml:space="preserve"/>
      </w:r>
    </w:p>
    <w:p>
      <w:pPr>
        <w:spacing w:after="60" w:before="60"/>
        <w:jc w:val="both"/>
      </w:pPr>
      <w:r>
        <w:rPr>
          <w:rFonts w:ascii="Arial" w:cs="Arial" w:eastAsia="Arial" w:hAnsi="Arial"/>
          <w:b/>
          <w:bCs/>
          <w:i w:val="false"/>
          <w:iCs w:val="false"/>
          <w:color w:val="2C2C2C"/>
          <w:sz w:val="22"/>
          <w:szCs w:val="22"/>
        </w:rPr>
        <w:t xml:space="preserve">I waited. And waited. For more than thirty days, not one response was received from HR, from the union, or from senior management. Thirty days of institutional silence in response to a formal grievance from a disabled, distressed employee — this is not an oversight. This is a strategy.</w:t>
      </w:r>
    </w:p>
    <w:p>
      <w:pPr>
        <w:spacing w:after="0" w:before="0"/>
      </w:pPr>
      <w:r>
        <w:t xml:space="preserve"/>
      </w:r>
    </w:p>
    <w:p>
      <w:pPr>
        <w:spacing w:after="60" w:before="60"/>
        <w:jc w:val="both"/>
      </w:pPr>
      <w:r>
        <w:rPr>
          <w:rFonts w:ascii="Arial" w:cs="Arial" w:eastAsia="Arial" w:hAnsi="Arial"/>
          <w:b w:val="false"/>
          <w:bCs w:val="false"/>
          <w:i w:val="false"/>
          <w:iCs w:val="false"/>
          <w:color w:val="2C2C2C"/>
          <w:sz w:val="22"/>
          <w:szCs w:val="22"/>
        </w:rPr>
        <w:t xml:space="preserve">During this period of silence, my manager deployed the following tactics, as documented in FG2 and corroborated by the video transcript T2 (31 October 2025):</w:t>
      </w:r>
    </w:p>
    <w:p>
      <w:pPr>
        <w:pStyle w:val="ListParagraph"/>
        <w:numPr>
          <w:ilvl w:val="0"/>
          <w:numId w:val="2"/>
        </w:numPr>
        <w:spacing w:after="40" w:before="40"/>
      </w:pPr>
      <w:r>
        <w:rPr>
          <w:rFonts w:ascii="Arial" w:cs="Arial" w:eastAsia="Arial" w:hAnsi="Arial"/>
          <w:b w:val="false"/>
          <w:bCs w:val="false"/>
          <w:color w:val="2C2C2C"/>
          <w:sz w:val="22"/>
          <w:szCs w:val="22"/>
        </w:rPr>
        <w:t xml:space="preserve">Gaslighting — denying factual events despite email proof: 'No, you didn't inform me,' in the face of timestamped correspondence</w:t>
      </w:r>
    </w:p>
    <w:p>
      <w:pPr>
        <w:pStyle w:val="ListParagraph"/>
        <w:numPr>
          <w:ilvl w:val="0"/>
          <w:numId w:val="2"/>
        </w:numPr>
        <w:spacing w:after="40" w:before="40"/>
      </w:pPr>
      <w:r>
        <w:rPr>
          <w:rFonts w:ascii="Arial" w:cs="Arial" w:eastAsia="Arial" w:hAnsi="Arial"/>
          <w:b w:val="false"/>
          <w:bCs w:val="false"/>
          <w:color w:val="2C2C2C"/>
          <w:sz w:val="22"/>
          <w:szCs w:val="22"/>
        </w:rPr>
        <w:t xml:space="preserve">Entrapment — creating no-win situations and then accusing me of 'undermining' the team</w:t>
      </w:r>
    </w:p>
    <w:p>
      <w:pPr>
        <w:pStyle w:val="ListParagraph"/>
        <w:numPr>
          <w:ilvl w:val="0"/>
          <w:numId w:val="2"/>
        </w:numPr>
        <w:spacing w:after="40" w:before="40"/>
      </w:pPr>
      <w:r>
        <w:rPr>
          <w:rFonts w:ascii="Arial" w:cs="Arial" w:eastAsia="Arial" w:hAnsi="Arial"/>
          <w:b w:val="false"/>
          <w:bCs w:val="false"/>
          <w:color w:val="2C2C2C"/>
          <w:sz w:val="22"/>
          <w:szCs w:val="22"/>
        </w:rPr>
        <w:t xml:space="preserve">Weaponising complaints — threatening: 'You made a case of harassment against me, now I can make a case against you'</w:t>
      </w:r>
    </w:p>
    <w:p>
      <w:pPr>
        <w:pStyle w:val="ListParagraph"/>
        <w:numPr>
          <w:ilvl w:val="0"/>
          <w:numId w:val="2"/>
        </w:numPr>
        <w:spacing w:after="40" w:before="40"/>
      </w:pPr>
      <w:r>
        <w:rPr>
          <w:rFonts w:ascii="Arial" w:cs="Arial" w:eastAsia="Arial" w:hAnsi="Arial"/>
          <w:b w:val="false"/>
          <w:bCs w:val="false"/>
          <w:color w:val="2C2C2C"/>
          <w:sz w:val="22"/>
          <w:szCs w:val="22"/>
        </w:rPr>
        <w:t xml:space="preserve">Campaign for removal — repeatedly suggesting I ask senior management to be transferred out of the team</w:t>
      </w:r>
    </w:p>
    <w:p>
      <w:pPr>
        <w:spacing w:after="0" w:before="0"/>
      </w:pPr>
      <w:r>
        <w:t xml:space="preserve"/>
      </w:r>
    </w:p>
    <w:p>
      <w:pPr>
        <w:spacing w:after="40" w:before="40"/>
        <w:ind w:left="360"/>
      </w:pPr>
      <w:r>
        <w:rPr>
          <w:rFonts w:ascii="Arial" w:cs="Arial" w:eastAsia="Arial" w:hAnsi="Arial"/>
          <w:b/>
          <w:bCs/>
          <w:color w:val="FFFFFF"/>
          <w:sz w:val="20"/>
          <w:szCs w:val="20"/>
          <w:highlight w:val="darkRed"/>
          <w:highlightCs w:val="darkRed"/>
        </w:rPr>
        <w:t xml:space="preserve">[PROC]  </w:t>
      </w:r>
      <w:r>
        <w:rPr>
          <w:rFonts w:ascii="Arial" w:cs="Arial" w:eastAsia="Arial" w:hAnsi="Arial"/>
          <w:color w:val="2C2C2C"/>
          <w:sz w:val="20"/>
          <w:szCs w:val="20"/>
        </w:rPr>
        <w:t xml:space="preserve">30+ days institutional silence on formal grievance — LRA s185</w:t>
      </w:r>
    </w:p>
    <w:p>
      <w:pPr>
        <w:spacing w:after="40" w:before="40"/>
        <w:ind w:left="360"/>
      </w:pPr>
      <w:r>
        <w:rPr>
          <w:rFonts w:ascii="Arial" w:cs="Arial" w:eastAsia="Arial" w:hAnsi="Arial"/>
          <w:b/>
          <w:bCs/>
          <w:color w:val="FFFFFF"/>
          <w:sz w:val="20"/>
          <w:szCs w:val="20"/>
          <w:highlight w:val="darkRed"/>
          <w:highlightCs w:val="darkRed"/>
        </w:rPr>
        <w:t xml:space="preserve">[GRC1]  </w:t>
      </w:r>
      <w:r>
        <w:rPr>
          <w:rFonts w:ascii="Arial" w:cs="Arial" w:eastAsia="Arial" w:hAnsi="Arial"/>
          <w:color w:val="2C2C2C"/>
          <w:sz w:val="20"/>
          <w:szCs w:val="20"/>
        </w:rPr>
        <w:t xml:space="preserve">Full overlap: ULP + Protected Disclosure + Detriment — FG2, IMP1</w:t>
      </w:r>
    </w:p>
    <w:p>
      <w:pPr>
        <w:spacing w:after="40" w:before="40"/>
        <w:ind w:left="360"/>
      </w:pPr>
      <w:r>
        <w:rPr>
          <w:rFonts w:ascii="Arial" w:cs="Arial" w:eastAsia="Arial" w:hAnsi="Arial"/>
          <w:b/>
          <w:bCs/>
          <w:color w:val="FFFFFF"/>
          <w:sz w:val="20"/>
          <w:szCs w:val="20"/>
          <w:highlight w:val="darkRed"/>
          <w:highlightCs w:val="darkRed"/>
        </w:rPr>
        <w:t xml:space="preserve">[DET]  </w:t>
      </w:r>
      <w:r>
        <w:rPr>
          <w:rFonts w:ascii="Arial" w:cs="Arial" w:eastAsia="Arial" w:hAnsi="Arial"/>
          <w:color w:val="2C2C2C"/>
          <w:sz w:val="20"/>
          <w:szCs w:val="20"/>
        </w:rPr>
        <w:t xml:space="preserve">Continued harassment and entrapment following protected disclosure</w:t>
      </w:r>
    </w:p>
    <w:p>
      <w:pPr>
        <w:pStyle w:val="Heading2"/>
        <w:pBdr>
          <w:left w:val="single" w:color="C9A84C" w:sz="12" w:space="6"/>
        </w:pBdr>
        <w:spacing w:after="80" w:before="240"/>
      </w:pPr>
      <w:r>
        <w:rPr>
          <w:rFonts w:ascii="Arial" w:cs="Arial" w:eastAsia="Arial" w:hAnsi="Arial"/>
          <w:b/>
          <w:bCs/>
          <w:color w:val="1B2A4A"/>
          <w:sz w:val="24"/>
          <w:szCs w:val="24"/>
        </w:rPr>
        <w:t xml:space="preserve">2.5  December 2025: Resignation Under Duress</w:t>
      </w:r>
    </w:p>
    <w:p>
      <w:pPr>
        <w:pStyle w:val="Heading3"/>
        <w:spacing w:after="60" w:before="180"/>
      </w:pPr>
      <w:r>
        <w:rPr>
          <w:rFonts w:ascii="Arial" w:cs="Arial" w:eastAsia="Arial" w:hAnsi="Arial"/>
          <w:b/>
          <w:bCs/>
          <w:color w:val="8B1A1A"/>
          <w:sz w:val="22"/>
          <w:szCs w:val="22"/>
        </w:rPr>
        <w:t xml:space="preserve">The Good Faith Final Attempt</w:t>
      </w:r>
    </w:p>
    <w:p>
      <w:pPr>
        <w:spacing w:after="60" w:before="60"/>
        <w:jc w:val="both"/>
      </w:pPr>
      <w:r>
        <w:rPr>
          <w:rFonts w:ascii="Arial" w:cs="Arial" w:eastAsia="Arial" w:hAnsi="Arial"/>
          <w:b w:val="false"/>
          <w:bCs w:val="false"/>
          <w:i w:val="false"/>
          <w:iCs w:val="false"/>
          <w:color w:val="2C2C2C"/>
          <w:sz w:val="22"/>
          <w:szCs w:val="22"/>
        </w:rPr>
        <w:t xml:space="preserve">On 4 December 2025, I made one final attempt to resolve the matter internally. I escalated directly to Executive Leadership (Executive Leadership Escalation.pdf), providing a comprehensive summary of all documented violations and requesting urgent intervention. I gave the employer every opportunity to correct its course.</w:t>
      </w:r>
    </w:p>
    <w:p>
      <w:pPr>
        <w:spacing w:after="0" w:before="0"/>
      </w:pPr>
      <w:r>
        <w:t xml:space="preserve"/>
      </w:r>
    </w:p>
    <w:p>
      <w:pPr>
        <w:spacing w:after="60" w:before="60"/>
        <w:jc w:val="both"/>
      </w:pPr>
      <w:r>
        <w:rPr>
          <w:rFonts w:ascii="Arial" w:cs="Arial" w:eastAsia="Arial" w:hAnsi="Arial"/>
          <w:b/>
          <w:bCs/>
          <w:i w:val="false"/>
          <w:iCs w:val="false"/>
          <w:color w:val="2C2C2C"/>
          <w:sz w:val="22"/>
          <w:szCs w:val="22"/>
        </w:rPr>
        <w:t xml:space="preserve">The employer's response was to send the complaint back to the very department under investigation. This is documented in DEC1 and GRC3: executive management directed the matter downward, to the same line management structure accused of perpetrating the conduct. This is not a procedural error. It is institutional bad faith at the highest level of the organisation.</w:t>
      </w:r>
    </w:p>
    <w:p>
      <w:pPr>
        <w:pStyle w:val="Heading3"/>
        <w:spacing w:after="60" w:before="180"/>
      </w:pPr>
      <w:r>
        <w:rPr>
          <w:rFonts w:ascii="Arial" w:cs="Arial" w:eastAsia="Arial" w:hAnsi="Arial"/>
          <w:b/>
          <w:bCs/>
          <w:color w:val="8B1A1A"/>
          <w:sz w:val="22"/>
          <w:szCs w:val="22"/>
        </w:rPr>
        <w:t xml:space="preserve">The Opposing Affidavit — Character Assassination Under Oath</w:t>
      </w:r>
    </w:p>
    <w:p>
      <w:pPr>
        <w:spacing w:after="60" w:before="60"/>
        <w:jc w:val="both"/>
      </w:pPr>
      <w:r>
        <w:rPr>
          <w:rFonts w:ascii="Arial" w:cs="Arial" w:eastAsia="Arial" w:hAnsi="Arial"/>
          <w:b w:val="false"/>
          <w:bCs w:val="false"/>
          <w:i w:val="false"/>
          <w:iCs w:val="false"/>
          <w:color w:val="2C2C2C"/>
          <w:sz w:val="22"/>
          <w:szCs w:val="22"/>
        </w:rPr>
        <w:t xml:space="preserve">On 10 December 2025, the employer filed an opposing affidavit (OA1) in the CCMA proceedings. Rather than address the substance of my complaints, the employer chose to:</w:t>
      </w:r>
    </w:p>
    <w:p>
      <w:pPr>
        <w:pStyle w:val="ListParagraph"/>
        <w:numPr>
          <w:ilvl w:val="0"/>
          <w:numId w:val="2"/>
        </w:numPr>
        <w:spacing w:after="40" w:before="40"/>
      </w:pPr>
      <w:r>
        <w:rPr>
          <w:rFonts w:ascii="Arial" w:cs="Arial" w:eastAsia="Arial" w:hAnsi="Arial"/>
          <w:b w:val="false"/>
          <w:bCs w:val="false"/>
          <w:color w:val="2C2C2C"/>
          <w:sz w:val="22"/>
          <w:szCs w:val="22"/>
        </w:rPr>
        <w:t xml:space="preserve">Label me as possessing an 'untruthful character'</w:t>
      </w:r>
    </w:p>
    <w:p>
      <w:pPr>
        <w:pStyle w:val="ListParagraph"/>
        <w:numPr>
          <w:ilvl w:val="0"/>
          <w:numId w:val="2"/>
        </w:numPr>
        <w:spacing w:after="40" w:before="40"/>
      </w:pPr>
      <w:r>
        <w:rPr>
          <w:rFonts w:ascii="Arial" w:cs="Arial" w:eastAsia="Arial" w:hAnsi="Arial"/>
          <w:b w:val="false"/>
          <w:bCs w:val="false"/>
          <w:color w:val="2C2C2C"/>
          <w:sz w:val="22"/>
          <w:szCs w:val="22"/>
        </w:rPr>
        <w:t xml:space="preserve">Characterise my CCMA referral as 'sloppiness and lack of regard'</w:t>
      </w:r>
    </w:p>
    <w:p>
      <w:pPr>
        <w:pStyle w:val="ListParagraph"/>
        <w:numPr>
          <w:ilvl w:val="0"/>
          <w:numId w:val="2"/>
        </w:numPr>
        <w:spacing w:after="40" w:before="40"/>
      </w:pPr>
      <w:r>
        <w:rPr>
          <w:rFonts w:ascii="Arial" w:cs="Arial" w:eastAsia="Arial" w:hAnsi="Arial"/>
          <w:b w:val="false"/>
          <w:bCs w:val="false"/>
          <w:color w:val="2C2C2C"/>
          <w:sz w:val="22"/>
          <w:szCs w:val="22"/>
        </w:rPr>
        <w:t xml:space="preserve">Demand a punitive costs order against an employee in documented financial crisis</w:t>
      </w:r>
    </w:p>
    <w:p>
      <w:pPr>
        <w:pStyle w:val="ListParagraph"/>
        <w:numPr>
          <w:ilvl w:val="0"/>
          <w:numId w:val="2"/>
        </w:numPr>
        <w:spacing w:after="40" w:before="40"/>
      </w:pPr>
      <w:r>
        <w:rPr>
          <w:rFonts w:ascii="Arial" w:cs="Arial" w:eastAsia="Arial" w:hAnsi="Arial"/>
          <w:b w:val="false"/>
          <w:bCs w:val="false"/>
          <w:color w:val="2C2C2C"/>
          <w:sz w:val="22"/>
          <w:szCs w:val="22"/>
        </w:rPr>
        <w:t xml:space="preserve">Dismiss my psychiatric diagnosis and doctor's letter as an 'excuse' and 'afterthought'</w:t>
      </w:r>
    </w:p>
    <w:p>
      <w:pPr>
        <w:pStyle w:val="ListParagraph"/>
        <w:numPr>
          <w:ilvl w:val="0"/>
          <w:numId w:val="2"/>
        </w:numPr>
        <w:spacing w:after="40" w:before="40"/>
      </w:pPr>
      <w:r>
        <w:rPr>
          <w:rFonts w:ascii="Arial" w:cs="Arial" w:eastAsia="Arial" w:hAnsi="Arial"/>
          <w:b w:val="false"/>
          <w:bCs w:val="false"/>
          <w:color w:val="2C2C2C"/>
          <w:sz w:val="22"/>
          <w:szCs w:val="22"/>
        </w:rPr>
        <w:t xml:space="preserve">Claim the employer would suffer 'severe prejudice' from attending a hearing in Cape Town</w:t>
      </w:r>
    </w:p>
    <w:p>
      <w:pPr>
        <w:spacing w:after="0" w:before="0"/>
      </w:pPr>
      <w:r>
        <w:t xml:space="preserve"/>
      </w:r>
    </w:p>
    <w:p>
      <w:pPr>
        <w:pBdr>
          <w:left w:val="single" w:color="8B1A1A" w:sz="12" w:space="8"/>
        </w:pBdr>
        <w:shd w:fill="FAE5E5" w:val="clear"/>
        <w:spacing w:after="80" w:before="80"/>
        <w:ind w:left="720" w:right="720"/>
        <w:jc w:val="both"/>
      </w:pPr>
      <w:r>
        <w:rPr>
          <w:rFonts w:ascii="Arial" w:cs="Arial" w:eastAsia="Arial" w:hAnsi="Arial"/>
          <w:i/>
          <w:iCs/>
          <w:color w:val="8B1A1A"/>
          <w:sz w:val="22"/>
          <w:szCs w:val="22"/>
        </w:rPr>
        <w:t xml:space="preserve">"This affidavit is not a legal defence. It is evidence of ongoing victimisation, committed under oath, and filed in a court of law."</w:t>
      </w:r>
    </w:p>
    <w:p>
      <w:pPr>
        <w:spacing w:after="0" w:before="0"/>
      </w:pPr>
      <w:r>
        <w:t xml:space="preserve"/>
      </w:r>
    </w:p>
    <w:p>
      <w:pPr>
        <w:spacing w:after="40" w:before="40"/>
        <w:ind w:left="360"/>
      </w:pPr>
      <w:r>
        <w:rPr>
          <w:rFonts w:ascii="Arial" w:cs="Arial" w:eastAsia="Arial" w:hAnsi="Arial"/>
          <w:b/>
          <w:bCs/>
          <w:color w:val="FFFFFF"/>
          <w:sz w:val="20"/>
          <w:szCs w:val="20"/>
          <w:highlight w:val="darkRed"/>
          <w:highlightCs w:val="darkRed"/>
        </w:rPr>
        <w:t xml:space="preserve">[DET]  </w:t>
      </w:r>
      <w:r>
        <w:rPr>
          <w:rFonts w:ascii="Arial" w:cs="Arial" w:eastAsia="Arial" w:hAnsi="Arial"/>
          <w:color w:val="2C2C2C"/>
          <w:sz w:val="20"/>
          <w:szCs w:val="20"/>
        </w:rPr>
        <w:t xml:space="preserve">Character assassination in sworn affidavit — ongoing occupational detriment</w:t>
      </w:r>
    </w:p>
    <w:p>
      <w:pPr>
        <w:spacing w:after="40" w:before="40"/>
        <w:ind w:left="360"/>
      </w:pPr>
      <w:r>
        <w:rPr>
          <w:rFonts w:ascii="Arial" w:cs="Arial" w:eastAsia="Arial" w:hAnsi="Arial"/>
          <w:b/>
          <w:bCs/>
          <w:color w:val="FFFFFF"/>
          <w:sz w:val="20"/>
          <w:szCs w:val="20"/>
          <w:highlight w:val="darkRed"/>
          <w:highlightCs w:val="darkRed"/>
        </w:rPr>
        <w:t xml:space="preserve">[GRC1]  </w:t>
      </w:r>
      <w:r>
        <w:rPr>
          <w:rFonts w:ascii="Arial" w:cs="Arial" w:eastAsia="Arial" w:hAnsi="Arial"/>
          <w:color w:val="2C2C2C"/>
          <w:sz w:val="20"/>
          <w:szCs w:val="20"/>
        </w:rPr>
        <w:t xml:space="preserve">Full overlap: ULP + Protected Disclosure + Detriment — OA1</w:t>
      </w:r>
    </w:p>
    <w:p>
      <w:pPr>
        <w:spacing w:after="40" w:before="40"/>
        <w:ind w:left="360"/>
      </w:pPr>
      <w:r>
        <w:rPr>
          <w:rFonts w:ascii="Arial" w:cs="Arial" w:eastAsia="Arial" w:hAnsi="Arial"/>
          <w:b/>
          <w:bCs/>
          <w:color w:val="FFFFFF"/>
          <w:sz w:val="20"/>
          <w:szCs w:val="20"/>
          <w:highlight w:val="darkRed"/>
          <w:highlightCs w:val="darkRed"/>
        </w:rPr>
        <w:t xml:space="preserve">[PROC]  </w:t>
      </w:r>
      <w:r>
        <w:rPr>
          <w:rFonts w:ascii="Arial" w:cs="Arial" w:eastAsia="Arial" w:hAnsi="Arial"/>
          <w:color w:val="2C2C2C"/>
          <w:sz w:val="20"/>
          <w:szCs w:val="20"/>
        </w:rPr>
        <w:t xml:space="preserve">De-escalation to perpetrator — bad faith response to executive escalation</w:t>
      </w:r>
    </w:p>
    <w:p>
      <w:pPr>
        <w:pStyle w:val="Heading3"/>
        <w:spacing w:after="60" w:before="180"/>
      </w:pPr>
      <w:r>
        <w:rPr>
          <w:rFonts w:ascii="Arial" w:cs="Arial" w:eastAsia="Arial" w:hAnsi="Arial"/>
          <w:b/>
          <w:bCs/>
          <w:color w:val="8B1A1A"/>
          <w:sz w:val="22"/>
          <w:szCs w:val="22"/>
        </w:rPr>
        <w:t xml:space="preserve">The Constructive Dismissal — 11 December 2025</w:t>
      </w:r>
    </w:p>
    <w:p>
      <w:pPr>
        <w:spacing w:after="60" w:before="60"/>
        <w:jc w:val="both"/>
      </w:pPr>
      <w:r>
        <w:rPr>
          <w:rFonts w:ascii="Arial" w:cs="Arial" w:eastAsia="Arial" w:hAnsi="Arial"/>
          <w:b w:val="false"/>
          <w:bCs w:val="false"/>
          <w:i w:val="false"/>
          <w:iCs w:val="false"/>
          <w:color w:val="2C2C2C"/>
          <w:sz w:val="22"/>
          <w:szCs w:val="22"/>
        </w:rPr>
        <w:t xml:space="preserve">On 11 December 2025, I had no choice. I served my formal Notice of Resignation Due to Automatically Unfair Constructive Dismissal (RES1) directly to the CEO's email address — personally. I cited Section 186(1)(e) of the Labour Relations Act (employer made continued employment intolerable) and Section 187(1)(h) (automatically unfair dismissal for whistleblowing). I had disclosed a P1-grade system integration failure. I had reported identity harassment. I had reported an unlawful salary deduction. I had made board-level escalations. And I had been met with silence, financial ruin, and a sworn affidavit calling me a liar.</w:t>
      </w:r>
    </w:p>
    <w:p>
      <w:pPr>
        <w:spacing w:after="0" w:before="0"/>
      </w:pPr>
      <w:r>
        <w:t xml:space="preserve"/>
      </w:r>
    </w:p>
    <w:p>
      <w:pPr>
        <w:spacing w:after="60" w:before="60"/>
        <w:jc w:val="both"/>
      </w:pPr>
      <w:r>
        <w:rPr>
          <w:rFonts w:ascii="Arial" w:cs="Arial" w:eastAsia="Arial" w:hAnsi="Arial"/>
          <w:b/>
          <w:bCs/>
          <w:i w:val="false"/>
          <w:iCs w:val="false"/>
          <w:color w:val="8B1A1A"/>
          <w:sz w:val="26"/>
          <w:szCs w:val="26"/>
        </w:rPr>
        <w:t xml:space="preserve">I did not resign. I was constructively dismissed.</w:t>
      </w:r>
    </w:p>
    <w:p>
      <w:pPr>
        <w:spacing w:after="0" w:before="0"/>
      </w:pPr>
      <w:r>
        <w:t xml:space="preserve"/>
      </w:r>
    </w:p>
    <w:p>
      <w:pPr>
        <w:spacing w:after="40" w:before="40"/>
        <w:ind w:left="360"/>
      </w:pPr>
      <w:r>
        <w:rPr>
          <w:rFonts w:ascii="Arial" w:cs="Arial" w:eastAsia="Arial" w:hAnsi="Arial"/>
          <w:b/>
          <w:bCs/>
          <w:color w:val="FFFFFF"/>
          <w:sz w:val="20"/>
          <w:szCs w:val="20"/>
          <w:highlight w:val="darkRed"/>
          <w:highlightCs w:val="darkRed"/>
        </w:rPr>
        <w:t xml:space="preserve">[CON]  </w:t>
      </w:r>
      <w:r>
        <w:rPr>
          <w:rFonts w:ascii="Arial" w:cs="Arial" w:eastAsia="Arial" w:hAnsi="Arial"/>
          <w:color w:val="2C2C2C"/>
          <w:sz w:val="20"/>
          <w:szCs w:val="20"/>
        </w:rPr>
        <w:t xml:space="preserve">Constructive dismissal — LRA s186(1)(e)</w:t>
      </w:r>
    </w:p>
    <w:p>
      <w:pPr>
        <w:spacing w:after="40" w:before="40"/>
        <w:ind w:left="360"/>
      </w:pPr>
      <w:r>
        <w:rPr>
          <w:rFonts w:ascii="Arial" w:cs="Arial" w:eastAsia="Arial" w:hAnsi="Arial"/>
          <w:b/>
          <w:bCs/>
          <w:color w:val="FFFFFF"/>
          <w:sz w:val="20"/>
          <w:szCs w:val="20"/>
          <w:highlight w:val="darkRed"/>
          <w:highlightCs w:val="darkRed"/>
        </w:rPr>
        <w:t xml:space="preserve">[CON]  </w:t>
      </w:r>
      <w:r>
        <w:rPr>
          <w:rFonts w:ascii="Arial" w:cs="Arial" w:eastAsia="Arial" w:hAnsi="Arial"/>
          <w:color w:val="2C2C2C"/>
          <w:sz w:val="20"/>
          <w:szCs w:val="20"/>
        </w:rPr>
        <w:t xml:space="preserve">Automatically unfair dismissal for protected disclosure — LRA s187(1)(h)</w:t>
      </w:r>
    </w:p>
    <w:p>
      <w:pPr>
        <w:pStyle w:val="Heading3"/>
        <w:spacing w:after="60" w:before="180"/>
      </w:pPr>
      <w:r>
        <w:rPr>
          <w:rFonts w:ascii="Arial" w:cs="Arial" w:eastAsia="Arial" w:hAnsi="Arial"/>
          <w:b/>
          <w:bCs/>
          <w:color w:val="8B1A1A"/>
          <w:sz w:val="22"/>
          <w:szCs w:val="22"/>
        </w:rPr>
        <w:t xml:space="preserve">Board-Level Escalations and the CRO's Instruction</w:t>
      </w:r>
    </w:p>
    <w:p>
      <w:pPr>
        <w:spacing w:after="60" w:before="60"/>
        <w:jc w:val="both"/>
      </w:pPr>
      <w:r>
        <w:rPr>
          <w:rFonts w:ascii="Arial" w:cs="Arial" w:eastAsia="Arial" w:hAnsi="Arial"/>
          <w:b w:val="false"/>
          <w:bCs w:val="false"/>
          <w:i w:val="false"/>
          <w:iCs w:val="false"/>
          <w:color w:val="2C2C2C"/>
          <w:sz w:val="22"/>
          <w:szCs w:val="22"/>
        </w:rPr>
        <w:t xml:space="preserve">Between 9 and 18 December 2025, I filed multiple GRC escalations directly to the Board (GRC1 through GRC4). On 18 December 2025, the Chief Risk Officer — the very person responsible for institutional risk management — sent me a message (CRO1):</w:t>
      </w:r>
    </w:p>
    <w:p>
      <w:pPr>
        <w:pBdr>
          <w:left w:val="single" w:color="8B1A1A" w:sz="12" w:space="8"/>
        </w:pBdr>
        <w:shd w:fill="FAE5E5" w:val="clear"/>
        <w:spacing w:after="80" w:before="80"/>
        <w:ind w:left="720" w:right="720"/>
        <w:jc w:val="both"/>
      </w:pPr>
      <w:r>
        <w:rPr>
          <w:rFonts w:ascii="Arial" w:cs="Arial" w:eastAsia="Arial" w:hAnsi="Arial"/>
          <w:i/>
          <w:iCs/>
          <w:color w:val="8B1A1A"/>
          <w:sz w:val="22"/>
          <w:szCs w:val="22"/>
        </w:rPr>
        <w:t xml:space="preserve">"Stop sending these emails to our directors. You appear impatient and unreasonable."</w:t>
      </w:r>
    </w:p>
    <w:p>
      <w:pPr>
        <w:spacing w:after="60" w:before="60"/>
        <w:jc w:val="both"/>
      </w:pPr>
      <w:r>
        <w:rPr>
          <w:rFonts w:ascii="Arial" w:cs="Arial" w:eastAsia="Arial" w:hAnsi="Arial"/>
          <w:b/>
          <w:bCs/>
          <w:i w:val="false"/>
          <w:iCs w:val="false"/>
          <w:color w:val="2C2C2C"/>
          <w:sz w:val="22"/>
          <w:szCs w:val="22"/>
        </w:rPr>
        <w:t xml:space="preserve">A Chief Risk Officer, telling a whistleblower to stop blowing the whistle. A compliance officer, instructing a protected discloser to cease protected disclosures. This is a direct violation of Section 3 of the Protected Disclosures Act.</w:t>
      </w:r>
    </w:p>
    <w:p>
      <w:pPr>
        <w:spacing w:after="0" w:before="0"/>
      </w:pPr>
      <w:r>
        <w:t xml:space="preserve"/>
      </w:r>
    </w:p>
    <w:p>
      <w:pPr>
        <w:spacing w:after="40" w:before="40"/>
        <w:ind w:left="360"/>
      </w:pPr>
      <w:r>
        <w:rPr>
          <w:rFonts w:ascii="Arial" w:cs="Arial" w:eastAsia="Arial" w:hAnsi="Arial"/>
          <w:b/>
          <w:bCs/>
          <w:color w:val="FFFFFF"/>
          <w:sz w:val="20"/>
          <w:szCs w:val="20"/>
          <w:highlight w:val="darkRed"/>
          <w:highlightCs w:val="darkRed"/>
        </w:rPr>
        <w:t xml:space="preserve">[DET]  </w:t>
      </w:r>
      <w:r>
        <w:rPr>
          <w:rFonts w:ascii="Arial" w:cs="Arial" w:eastAsia="Arial" w:hAnsi="Arial"/>
          <w:color w:val="2C2C2C"/>
          <w:sz w:val="20"/>
          <w:szCs w:val="20"/>
        </w:rPr>
        <w:t xml:space="preserve">CRO instruction to stop whistleblowing — direct PDA s3 violation — CRO1</w:t>
      </w:r>
    </w:p>
    <w:p>
      <w:pPr>
        <w:pStyle w:val="Heading2"/>
        <w:pBdr>
          <w:left w:val="single" w:color="C9A84C" w:sz="12" w:space="6"/>
        </w:pBdr>
        <w:spacing w:after="80" w:before="240"/>
      </w:pPr>
      <w:r>
        <w:rPr>
          <w:rFonts w:ascii="Arial" w:cs="Arial" w:eastAsia="Arial" w:hAnsi="Arial"/>
          <w:b/>
          <w:bCs/>
          <w:color w:val="1B2A4A"/>
          <w:sz w:val="24"/>
          <w:szCs w:val="24"/>
        </w:rPr>
        <w:t xml:space="preserve">2.6  January 2026: Post-Employment Detriment</w:t>
      </w:r>
    </w:p>
    <w:p>
      <w:pPr>
        <w:pStyle w:val="Heading3"/>
        <w:spacing w:after="60" w:before="180"/>
      </w:pPr>
      <w:r>
        <w:rPr>
          <w:rFonts w:ascii="Arial" w:cs="Arial" w:eastAsia="Arial" w:hAnsi="Arial"/>
          <w:b/>
          <w:bCs/>
          <w:color w:val="8B1A1A"/>
          <w:sz w:val="22"/>
          <w:szCs w:val="22"/>
        </w:rPr>
        <w:t xml:space="preserve">Exit Documents Withheld — Certificate of Service Falsified</w:t>
      </w:r>
    </w:p>
    <w:p>
      <w:pPr>
        <w:spacing w:after="60" w:before="60"/>
        <w:jc w:val="both"/>
      </w:pPr>
      <w:r>
        <w:rPr>
          <w:rFonts w:ascii="Arial" w:cs="Arial" w:eastAsia="Arial" w:hAnsi="Arial"/>
          <w:b w:val="false"/>
          <w:bCs w:val="false"/>
          <w:i w:val="false"/>
          <w:iCs w:val="false"/>
          <w:color w:val="2C2C2C"/>
          <w:sz w:val="22"/>
          <w:szCs w:val="22"/>
        </w:rPr>
        <w:t xml:space="preserve">After my resignation, the employer withheld my UI-19 form, my retirement fund forms, and my Certificate of Service. When the Certificate was finally issued (CERT1, 19 January 2026), it listed my position as 'Care Coordinator' — contradicting the 'Specialist / Case Manager' title used in the employer's own Teams meeting recordings, and contradicting the title relied upon in the employer's own court papers. The employer also failed to submit a UIF declaration for June 2025 (confirmed by uFiling portal screenshot, 10 February 2026: 'No Information'), despite having deducted UIF contributions from my salary throughout.</w:t>
      </w:r>
    </w:p>
    <w:p>
      <w:pPr>
        <w:spacing w:after="0" w:before="0"/>
      </w:pPr>
      <w:r>
        <w:t xml:space="preserve"/>
      </w:r>
    </w:p>
    <w:p>
      <w:pPr>
        <w:pBdr>
          <w:top w:val="single" w:color="C9A84C" w:sz="4"/>
          <w:bottom w:val="single" w:color="C9A84C" w:sz="4"/>
          <w:left w:val="thick" w:color="1B2A4A" w:sz="16"/>
          <w:right w:val="single" w:color="C9A84C" w:sz="4"/>
        </w:pBdr>
        <w:shd w:fill="FAF3E0" w:val="clear"/>
        <w:spacing w:after="80" w:before="80"/>
        <w:ind w:left="360" w:right="360"/>
      </w:pPr>
      <w:r>
        <w:rPr>
          <w:rFonts w:ascii="Arial" w:cs="Arial" w:eastAsia="Arial" w:hAnsi="Arial"/>
          <w:b/>
          <w:bCs/>
          <w:color w:val="1B2A4A"/>
          <w:sz w:val="22"/>
          <w:szCs w:val="22"/>
        </w:rPr>
        <w:t xml:space="preserve">CRITICAL CONTRADICTION [C8]:  </w:t>
      </w:r>
      <w:r>
        <w:rPr>
          <w:rFonts w:ascii="Arial" w:cs="Arial" w:eastAsia="Arial" w:hAnsi="Arial"/>
          <w:color w:val="2C2C2C"/>
          <w:sz w:val="22"/>
          <w:szCs w:val="22"/>
        </w:rPr>
        <w:t xml:space="preserve">Employer relies on employee's 'Case Manager' authority in founding affidavit to secure a High Court interdict — but simultaneously issues a Certificate of Service designating him as 'Care Coordinator.' The employer cannot rely on a title in court that it simultaneously erases on statutory documents.</w:t>
      </w:r>
    </w:p>
    <w:p>
      <w:pPr>
        <w:spacing w:after="0" w:before="0"/>
      </w:pPr>
      <w:r>
        <w:t xml:space="preserve"/>
      </w:r>
    </w:p>
    <w:p>
      <w:pPr>
        <w:spacing w:after="40" w:before="40"/>
        <w:ind w:left="360"/>
      </w:pPr>
      <w:r>
        <w:rPr>
          <w:rFonts w:ascii="Arial" w:cs="Arial" w:eastAsia="Arial" w:hAnsi="Arial"/>
          <w:b/>
          <w:bCs/>
          <w:color w:val="FFFFFF"/>
          <w:sz w:val="20"/>
          <w:szCs w:val="20"/>
          <w:highlight w:val="darkRed"/>
          <w:highlightCs w:val="darkRed"/>
        </w:rPr>
        <w:t xml:space="preserve">[BCEA s38]  </w:t>
      </w:r>
      <w:r>
        <w:rPr>
          <w:rFonts w:ascii="Arial" w:cs="Arial" w:eastAsia="Arial" w:hAnsi="Arial"/>
          <w:color w:val="2C2C2C"/>
          <w:sz w:val="20"/>
          <w:szCs w:val="20"/>
        </w:rPr>
        <w:t xml:space="preserve">UIF non-remittance — contributions deducted but not declared to Fund</w:t>
      </w:r>
    </w:p>
    <w:p>
      <w:pPr>
        <w:spacing w:after="40" w:before="40"/>
        <w:ind w:left="360"/>
      </w:pPr>
      <w:r>
        <w:rPr>
          <w:rFonts w:ascii="Arial" w:cs="Arial" w:eastAsia="Arial" w:hAnsi="Arial"/>
          <w:b/>
          <w:bCs/>
          <w:color w:val="FFFFFF"/>
          <w:sz w:val="20"/>
          <w:szCs w:val="20"/>
          <w:highlight w:val="darkRed"/>
          <w:highlightCs w:val="darkRed"/>
        </w:rPr>
        <w:t xml:space="preserve">[DET]  </w:t>
      </w:r>
      <w:r>
        <w:rPr>
          <w:rFonts w:ascii="Arial" w:cs="Arial" w:eastAsia="Arial" w:hAnsi="Arial"/>
          <w:color w:val="2C2C2C"/>
          <w:sz w:val="20"/>
          <w:szCs w:val="20"/>
        </w:rPr>
        <w:t xml:space="preserve">Post-employment detriment — withholding exit documents</w:t>
      </w:r>
    </w:p>
    <w:p>
      <w:pPr>
        <w:spacing w:after="40" w:before="40"/>
        <w:ind w:left="360"/>
      </w:pPr>
      <w:r>
        <w:rPr>
          <w:rFonts w:ascii="Arial" w:cs="Arial" w:eastAsia="Arial" w:hAnsi="Arial"/>
          <w:b/>
          <w:bCs/>
          <w:color w:val="FFFFFF"/>
          <w:sz w:val="20"/>
          <w:szCs w:val="20"/>
          <w:highlight w:val="darkRed"/>
          <w:highlightCs w:val="darkRed"/>
        </w:rPr>
        <w:t xml:space="preserve">[WHISTLE]  </w:t>
      </w:r>
      <w:r>
        <w:rPr>
          <w:rFonts w:ascii="Arial" w:cs="Arial" w:eastAsia="Arial" w:hAnsi="Arial"/>
          <w:color w:val="2C2C2C"/>
          <w:sz w:val="20"/>
          <w:szCs w:val="20"/>
        </w:rPr>
        <w:t xml:space="preserve">External disclosures to 8 regulators — protected under PDA s5</w:t>
      </w:r>
    </w:p>
    <w:p>
      <w:pPr>
        <w:pStyle w:val="Heading2"/>
        <w:pBdr>
          <w:left w:val="single" w:color="C9A84C" w:sz="12" w:space="6"/>
        </w:pBdr>
        <w:spacing w:after="80" w:before="240"/>
      </w:pPr>
      <w:r>
        <w:rPr>
          <w:rFonts w:ascii="Arial" w:cs="Arial" w:eastAsia="Arial" w:hAnsi="Arial"/>
          <w:b/>
          <w:bCs/>
          <w:color w:val="1B2A4A"/>
          <w:sz w:val="24"/>
          <w:szCs w:val="24"/>
        </w:rPr>
        <w:t xml:space="preserve">2.7  February – March 2026: The Regulatory Deadlock</w:t>
      </w:r>
    </w:p>
    <w:p>
      <w:pPr>
        <w:pStyle w:val="Heading3"/>
        <w:spacing w:after="60" w:before="180"/>
      </w:pPr>
      <w:r>
        <w:rPr>
          <w:rFonts w:ascii="Arial" w:cs="Arial" w:eastAsia="Arial" w:hAnsi="Arial"/>
          <w:b/>
          <w:bCs/>
          <w:color w:val="8B1A1A"/>
          <w:sz w:val="22"/>
          <w:szCs w:val="22"/>
        </w:rPr>
        <w:t xml:space="preserve">Every Door Closes</w:t>
      </w:r>
    </w:p>
    <w:p>
      <w:pPr>
        <w:spacing w:after="60" w:before="60"/>
        <w:jc w:val="both"/>
      </w:pPr>
      <w:r>
        <w:rPr>
          <w:rFonts w:ascii="Arial" w:cs="Arial" w:eastAsia="Arial" w:hAnsi="Arial"/>
          <w:b w:val="false"/>
          <w:bCs w:val="false"/>
          <w:i w:val="false"/>
          <w:iCs w:val="false"/>
          <w:color w:val="2C2C2C"/>
          <w:sz w:val="22"/>
          <w:szCs w:val="22"/>
        </w:rPr>
        <w:t xml:space="preserve">By March 2026, I had filed formal complaints with eight regulatory bodies, filed a Labour Court claim (Case No. 2026-077546), filed a complaint against CCMA Commissioner Nthabiseng for bias (CCC1), and documented the employer's conduct in a comprehensive forensic report (EthicHawks_Forensic_Report_WECT24486-25.PDF, 5 April 2026). What I received in return was a complete administrative deadlock: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My Request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DEL (BCEA)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Investigate UI-19 fraud — false 'voluntary resignation' designation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Inspector Kutuka: 'DEL does not have jurisdiction… falls under CCMA'</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DEL (UIF)</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Investigate UIF non-remittance (June 2025)</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One inspector allocates; Kutuka closes — internal contradiction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Investigate Gexus/DMS system failure, administrator misconduct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Referred to HPCSA and SANC — deflected</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HPCSA</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Professional misconduct</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'No jurisdiction over nurses' — referred to SANC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SANC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Professional misconduct complaint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Six+ days silence — no response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SAHRC</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Human rights violations — destitution, housing, dignity</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Referred to CCMA, Labour Court, Public Protector, 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FSCA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Governance failure — internal controls breakdown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Email delivery failed — recipient not found</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JSE</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King IV breaches — suppressed P1 risk report</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Acknowledged — pending; later declined jurisdiction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SAPS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Criminal case — UIF non-remittance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Verbal refusal to open case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Public Protector</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PDA protection, maladministration</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Email blocked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CCMA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PDA protected disclosure retaliation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 jurisdiction — go to Labour Court</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Labour Court Registry</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File Statement of Claim</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8 days of portal failures, deleted profile, trivial rejection</w:t>
            </w:r>
          </w:p>
        </w:tc>
      </w:tr>
    </w:tbl>
    <w:p>
      <w:pPr>
        <w:spacing w:after="0" w:before="0"/>
      </w:pPr>
      <w:r>
        <w:t xml:space="preserve"/>
      </w:r>
    </w:p>
    <w:p>
      <w:pPr>
        <w:spacing w:after="60" w:before="60"/>
        <w:jc w:val="both"/>
      </w:pPr>
      <w:r>
        <w:rPr>
          <w:rFonts w:ascii="Arial" w:cs="Arial" w:eastAsia="Arial" w:hAnsi="Arial"/>
          <w:b/>
          <w:bCs/>
          <w:i w:val="false"/>
          <w:iCs w:val="false"/>
          <w:color w:val="8B1A1A"/>
          <w:sz w:val="22"/>
          <w:szCs w:val="22"/>
        </w:rPr>
        <w:t xml:space="preserve">I was legally trapped. Every regulator pointed to another. The employer had an interdict. The CCMA had no jurisdiction. The Labour Court portal was inaccessible. I was homeless. I had no running water. I was in a documented PTSD collapse. And every door was shut.</w:t>
      </w:r>
    </w:p>
    <w:p>
      <w:pPr>
        <w:pStyle w:val="Heading3"/>
        <w:spacing w:after="60" w:before="180"/>
      </w:pPr>
      <w:r>
        <w:rPr>
          <w:rFonts w:ascii="Arial" w:cs="Arial" w:eastAsia="Arial" w:hAnsi="Arial"/>
          <w:b/>
          <w:bCs/>
          <w:color w:val="8B1A1A"/>
          <w:sz w:val="22"/>
          <w:szCs w:val="22"/>
        </w:rPr>
        <w:t xml:space="preserve">The Forensic Payroll Anomaly</w:t>
      </w:r>
    </w:p>
    <w:p>
      <w:pPr>
        <w:spacing w:after="60" w:before="60"/>
        <w:jc w:val="both"/>
      </w:pPr>
      <w:r>
        <w:rPr>
          <w:rFonts w:ascii="Arial" w:cs="Arial" w:eastAsia="Arial" w:hAnsi="Arial"/>
          <w:b w:val="false"/>
          <w:bCs w:val="false"/>
          <w:i w:val="false"/>
          <w:iCs w:val="false"/>
          <w:color w:val="2C2C2C"/>
          <w:sz w:val="22"/>
          <w:szCs w:val="22"/>
        </w:rPr>
        <w:t xml:space="preserve">My forensic analysis of the payroll records (documented in SAHRC Final Update, 13 March 2026) identified a discrepancy of R5,948.62 between the gross salary reflected on my July 2025 payslip (R21,777.04) and the salary declared to SARS and the UIF Fund by the employer in the same month (R27,725.66). This is not an administrative rounding error. This is the employer declaring to government authorities a salary figure R5,948.62 higher than what I actually received — in the same month as the unlawful 40.47% deduction. This constitutes potential statutory misrepresentation to SARS and the UIF Fund.</w:t>
      </w:r>
    </w:p>
    <w:p>
      <w:pPr>
        <w:spacing w:after="0" w:before="0"/>
      </w:pPr>
      <w:r>
        <w:t xml:space="preserve"/>
      </w:r>
    </w:p>
    <w:p>
      <w:pPr>
        <w:pBdr>
          <w:top w:val="single" w:color="C9A84C" w:sz="4"/>
          <w:bottom w:val="single" w:color="C9A84C" w:sz="4"/>
          <w:left w:val="thick" w:color="1B2A4A" w:sz="16"/>
          <w:right w:val="single" w:color="C9A84C" w:sz="4"/>
        </w:pBdr>
        <w:shd w:fill="FAF3E0" w:val="clear"/>
        <w:spacing w:after="80" w:before="80"/>
        <w:ind w:left="360" w:right="360"/>
      </w:pPr>
      <w:r>
        <w:rPr>
          <w:rFonts w:ascii="Arial" w:cs="Arial" w:eastAsia="Arial" w:hAnsi="Arial"/>
          <w:b/>
          <w:bCs/>
          <w:color w:val="1B2A4A"/>
          <w:sz w:val="22"/>
          <w:szCs w:val="22"/>
        </w:rPr>
        <w:t xml:space="preserve">FORENSIC FINDING:  </w:t>
      </w:r>
      <w:r>
        <w:rPr>
          <w:rFonts w:ascii="Arial" w:cs="Arial" w:eastAsia="Arial" w:hAnsi="Arial"/>
          <w:color w:val="2C2C2C"/>
          <w:sz w:val="22"/>
          <w:szCs w:val="22"/>
        </w:rPr>
        <w:t xml:space="preserve">R5,948.62 discrepancy between payslip gross (R21,777.04) and SARS/UIF declaration (R27,725.66) in July 2025 — same month as unlawful 40.47% deduction. Warrants investigation by SARS and the South African Revenue Service.</w:t>
      </w:r>
    </w:p>
    <w:p>
      <w:pPr>
        <w:pStyle w:val="Heading2"/>
        <w:pBdr>
          <w:left w:val="single" w:color="C9A84C" w:sz="12" w:space="6"/>
        </w:pBdr>
        <w:spacing w:after="80" w:before="240"/>
      </w:pPr>
      <w:r>
        <w:rPr>
          <w:rFonts w:ascii="Arial" w:cs="Arial" w:eastAsia="Arial" w:hAnsi="Arial"/>
          <w:b/>
          <w:bCs/>
          <w:color w:val="1B2A4A"/>
          <w:sz w:val="24"/>
          <w:szCs w:val="24"/>
        </w:rPr>
        <w:t xml:space="preserve">2.8  April 2026: The High Court Interdict — The Final Silencing</w:t>
      </w:r>
    </w:p>
    <w:p>
      <w:pPr>
        <w:pStyle w:val="Heading3"/>
        <w:spacing w:after="60" w:before="180"/>
      </w:pPr>
      <w:r>
        <w:rPr>
          <w:rFonts w:ascii="Arial" w:cs="Arial" w:eastAsia="Arial" w:hAnsi="Arial"/>
          <w:b/>
          <w:bCs/>
          <w:color w:val="8B1A1A"/>
          <w:sz w:val="22"/>
          <w:szCs w:val="22"/>
        </w:rPr>
        <w:t xml:space="preserve">What the Employer Did Instead of Engaging</w:t>
      </w:r>
    </w:p>
    <w:p>
      <w:pPr>
        <w:spacing w:after="60" w:before="60"/>
        <w:jc w:val="both"/>
      </w:pPr>
      <w:r>
        <w:rPr>
          <w:rFonts w:ascii="Arial" w:cs="Arial" w:eastAsia="Arial" w:hAnsi="Arial"/>
          <w:b w:val="false"/>
          <w:bCs w:val="false"/>
          <w:i w:val="false"/>
          <w:iCs w:val="false"/>
          <w:color w:val="2C2C2C"/>
          <w:sz w:val="22"/>
          <w:szCs w:val="22"/>
        </w:rPr>
        <w:t xml:space="preserve">Rather than engage with the substance of my disclosures — a Gexus/DMS system integration failure causing what I have quantified as a R3 billion 'Governance Tax' on 1.9 million GEMS members through an excessive 9.5% premium increase (4.5% above the CMS inflation guideline of 3.3-4%) — the employer filed an urgent application in the High Court on 16 April 2026. The deponent was the Group CEO, Gerald Neville Van Wyk. The employer sought to interdict me from:</w:t>
      </w:r>
    </w:p>
    <w:p>
      <w:pPr>
        <w:pStyle w:val="ListParagraph"/>
        <w:numPr>
          <w:ilvl w:val="0"/>
          <w:numId w:val="2"/>
        </w:numPr>
        <w:spacing w:after="40" w:before="40"/>
      </w:pPr>
      <w:r>
        <w:rPr>
          <w:rFonts w:ascii="Arial" w:cs="Arial" w:eastAsia="Arial" w:hAnsi="Arial"/>
          <w:b w:val="false"/>
          <w:bCs w:val="false"/>
          <w:color w:val="2C2C2C"/>
          <w:sz w:val="22"/>
          <w:szCs w:val="22"/>
        </w:rPr>
        <w:t xml:space="preserve">Disclosing any information to trade unions (PSA, NEHAWU, DENOSA, POPCRU, SAPS)</w:t>
      </w:r>
    </w:p>
    <w:p>
      <w:pPr>
        <w:pStyle w:val="ListParagraph"/>
        <w:numPr>
          <w:ilvl w:val="0"/>
          <w:numId w:val="2"/>
        </w:numPr>
        <w:spacing w:after="40" w:before="40"/>
      </w:pPr>
      <w:r>
        <w:rPr>
          <w:rFonts w:ascii="Arial" w:cs="Arial" w:eastAsia="Arial" w:hAnsi="Arial"/>
          <w:b w:val="false"/>
          <w:bCs w:val="false"/>
          <w:color w:val="2C2C2C"/>
          <w:sz w:val="22"/>
          <w:szCs w:val="22"/>
        </w:rPr>
        <w:t xml:space="preserve">Publishing any statements about the employer, its directors, or regulators</w:t>
      </w:r>
    </w:p>
    <w:p>
      <w:pPr>
        <w:pStyle w:val="ListParagraph"/>
        <w:numPr>
          <w:ilvl w:val="0"/>
          <w:numId w:val="2"/>
        </w:numPr>
        <w:spacing w:after="40" w:before="40"/>
      </w:pPr>
      <w:r>
        <w:rPr>
          <w:rFonts w:ascii="Arial" w:cs="Arial" w:eastAsia="Arial" w:hAnsi="Arial"/>
          <w:b w:val="false"/>
          <w:bCs w:val="false"/>
          <w:color w:val="2C2C2C"/>
          <w:sz w:val="22"/>
          <w:szCs w:val="22"/>
        </w:rPr>
        <w:t xml:space="preserve">Filing complaints with the JSE, CIPC, or IRBA</w:t>
      </w:r>
    </w:p>
    <w:p>
      <w:pPr>
        <w:pStyle w:val="ListParagraph"/>
        <w:numPr>
          <w:ilvl w:val="0"/>
          <w:numId w:val="2"/>
        </w:numPr>
        <w:spacing w:after="40" w:before="40"/>
      </w:pPr>
      <w:r>
        <w:rPr>
          <w:rFonts w:ascii="Arial" w:cs="Arial" w:eastAsia="Arial" w:hAnsi="Arial"/>
          <w:b w:val="false"/>
          <w:bCs w:val="false"/>
          <w:color w:val="2C2C2C"/>
          <w:sz w:val="22"/>
          <w:szCs w:val="22"/>
        </w:rPr>
        <w:t xml:space="preserve">Demanding any payment by means of threats or coercion</w:t>
      </w:r>
    </w:p>
    <w:p>
      <w:pPr>
        <w:pStyle w:val="ListParagraph"/>
        <w:numPr>
          <w:ilvl w:val="0"/>
          <w:numId w:val="2"/>
        </w:numPr>
        <w:spacing w:after="40" w:before="40"/>
      </w:pPr>
      <w:r>
        <w:rPr>
          <w:rFonts w:ascii="Arial" w:cs="Arial" w:eastAsia="Arial" w:hAnsi="Arial"/>
          <w:b w:val="false"/>
          <w:bCs w:val="false"/>
          <w:color w:val="2C2C2C"/>
          <w:sz w:val="22"/>
          <w:szCs w:val="22"/>
        </w:rPr>
        <w:t xml:space="preserve">Contacting any trade union to incite action against the employer</w:t>
      </w:r>
    </w:p>
    <w:p>
      <w:pPr>
        <w:spacing w:after="0" w:before="0"/>
      </w:pPr>
      <w:r>
        <w:t xml:space="preserve"/>
      </w:r>
    </w:p>
    <w:p>
      <w:pPr>
        <w:spacing w:after="60" w:before="60"/>
        <w:jc w:val="both"/>
      </w:pPr>
      <w:r>
        <w:rPr>
          <w:rFonts w:ascii="Arial" w:cs="Arial" w:eastAsia="Arial" w:hAnsi="Arial"/>
          <w:b w:val="false"/>
          <w:bCs w:val="false"/>
          <w:i w:val="false"/>
          <w:iCs w:val="false"/>
          <w:color w:val="2C2C2C"/>
          <w:sz w:val="22"/>
          <w:szCs w:val="22"/>
        </w:rPr>
        <w:t xml:space="preserve">Acting Justice Mphego granted the interim order on 16 April 2026. Costs were awarded against me. A rule nisi was issued, returnable 28 May 2026.</w:t>
      </w:r>
    </w:p>
    <w:p>
      <w:pPr>
        <w:spacing w:after="0" w:before="0"/>
      </w:pPr>
      <w:r>
        <w:t xml:space="preserve"/>
      </w:r>
    </w:p>
    <w:p>
      <w:pPr>
        <w:spacing w:after="60" w:before="60"/>
        <w:jc w:val="both"/>
      </w:pPr>
      <w:r>
        <w:rPr>
          <w:rFonts w:ascii="Arial" w:cs="Arial" w:eastAsia="Arial" w:hAnsi="Arial"/>
          <w:b w:val="false"/>
          <w:bCs w:val="false"/>
          <w:i w:val="false"/>
          <w:iCs w:val="false"/>
          <w:color w:val="2C2C2C"/>
          <w:sz w:val="22"/>
          <w:szCs w:val="22"/>
        </w:rPr>
        <w:t xml:space="preserve">The employer characterised my demand for settlement — calculated on the basis of my documented losses, the unlawful deduction, constructive dismissal compensation, and the public interest exposure I had identified — as 'extortion.' The employer further argued that because I had resigned in December 2025, I was no longer an employee, and therefore could not claim protection under the Protected Disclosures Act.</w:t>
      </w:r>
    </w:p>
    <w:p>
      <w:pPr>
        <w:pStyle w:val="Heading3"/>
        <w:spacing w:after="60" w:before="180"/>
      </w:pPr>
      <w:r>
        <w:rPr>
          <w:rFonts w:ascii="Arial" w:cs="Arial" w:eastAsia="Arial" w:hAnsi="Arial"/>
          <w:b/>
          <w:bCs/>
          <w:color w:val="8B1A1A"/>
          <w:sz w:val="22"/>
          <w:szCs w:val="22"/>
        </w:rPr>
        <w:t xml:space="preserve">My Response: The Answering Affidavit</w:t>
      </w:r>
    </w:p>
    <w:p>
      <w:pPr>
        <w:spacing w:after="60" w:before="60"/>
        <w:jc w:val="both"/>
      </w:pPr>
      <w:r>
        <w:rPr>
          <w:rFonts w:ascii="Arial" w:cs="Arial" w:eastAsia="Arial" w:hAnsi="Arial"/>
          <w:b w:val="false"/>
          <w:bCs w:val="false"/>
          <w:i w:val="false"/>
          <w:iCs w:val="false"/>
          <w:color w:val="2C2C2C"/>
          <w:sz w:val="22"/>
          <w:szCs w:val="22"/>
        </w:rPr>
        <w:t xml:space="preserve">I filed a detailed supplementary answering affidavit (Matthee_Supplementary_Answering_Affidavit_Case160_2026.PDF) exposing the bad faith at the heart of the employer's application. My arguments, supported by documentary evidence, are these:</w:t>
      </w:r>
    </w:p>
    <w:p>
      <w:pPr>
        <w:spacing w:after="0" w:before="0"/>
      </w:pPr>
      <w:r>
        <w:t xml:space="preserve"/>
      </w:r>
    </w:p>
    <w:p>
      <w:pPr>
        <w:pStyle w:val="ListParagraph"/>
        <w:numPr>
          <w:ilvl w:val="0"/>
          <w:numId w:val="3"/>
        </w:numPr>
        <w:spacing w:after="40" w:before="40"/>
      </w:pPr>
      <w:r>
        <w:rPr>
          <w:rFonts w:ascii="Arial" w:cs="Arial" w:eastAsia="Arial" w:hAnsi="Arial"/>
          <w:b w:val="false"/>
          <w:bCs w:val="false"/>
          <w:color w:val="2C2C2C"/>
          <w:sz w:val="22"/>
          <w:szCs w:val="22"/>
        </w:rPr>
        <w:t xml:space="preserve">The employer approaches this Court with dirty hands. Its conduct throughout 2025 constitutes a sustained campaign of unlawful workplace victimisation, documented in 58 primary source documents.</w:t>
      </w:r>
    </w:p>
    <w:p>
      <w:pPr>
        <w:pStyle w:val="ListParagraph"/>
        <w:numPr>
          <w:ilvl w:val="0"/>
          <w:numId w:val="3"/>
        </w:numPr>
        <w:spacing w:after="40" w:before="40"/>
      </w:pPr>
      <w:r>
        <w:rPr>
          <w:rFonts w:ascii="Arial" w:cs="Arial" w:eastAsia="Arial" w:hAnsi="Arial"/>
          <w:b w:val="false"/>
          <w:bCs w:val="false"/>
          <w:color w:val="2C2C2C"/>
          <w:sz w:val="22"/>
          <w:szCs w:val="22"/>
        </w:rPr>
        <w:t xml:space="preserve">My disclosures are protected disclosures in the public interest under the PDA. The Gexus/DMS integration failure is a systemic failure affecting 1.9 million GEMS members and generating a R3 billion Governance Tax through an artificial 9.5% premium increase. The employer's own founding affidavit admits that Gexus and DMS 'are designed to work together' — the integration failure is therefore a design flaw, not a false allegation.</w:t>
      </w:r>
    </w:p>
    <w:p>
      <w:pPr>
        <w:pStyle w:val="ListParagraph"/>
        <w:numPr>
          <w:ilvl w:val="0"/>
          <w:numId w:val="3"/>
        </w:numPr>
        <w:spacing w:after="40" w:before="40"/>
      </w:pPr>
      <w:r>
        <w:rPr>
          <w:rFonts w:ascii="Arial" w:cs="Arial" w:eastAsia="Arial" w:hAnsi="Arial"/>
          <w:b w:val="false"/>
          <w:bCs w:val="false"/>
          <w:color w:val="2C2C2C"/>
          <w:sz w:val="22"/>
          <w:szCs w:val="22"/>
        </w:rPr>
        <w:t xml:space="preserve">The employer cannot simultaneously rely on my 'Case Manager' title to establish the authority of my disclosures in its founding affidavit, while erasing the same title on statutory Department of Labour documents to diminish my forensic credibility.</w:t>
      </w:r>
    </w:p>
    <w:p>
      <w:pPr>
        <w:pStyle w:val="ListParagraph"/>
        <w:numPr>
          <w:ilvl w:val="0"/>
          <w:numId w:val="3"/>
        </w:numPr>
        <w:spacing w:after="40" w:before="40"/>
      </w:pPr>
      <w:r>
        <w:rPr>
          <w:rFonts w:ascii="Arial" w:cs="Arial" w:eastAsia="Arial" w:hAnsi="Arial"/>
          <w:b w:val="false"/>
          <w:bCs w:val="false"/>
          <w:color w:val="2C2C2C"/>
          <w:sz w:val="22"/>
          <w:szCs w:val="22"/>
        </w:rPr>
        <w:t xml:space="preserve">The Council for Medical Schemes has already referred the matter to HPCSA and SANC for 'Administrative Misconduct and Ethical Failure' — confirming institutional credibility.</w:t>
      </w:r>
    </w:p>
    <w:p>
      <w:pPr>
        <w:pStyle w:val="ListParagraph"/>
        <w:numPr>
          <w:ilvl w:val="0"/>
          <w:numId w:val="3"/>
        </w:numPr>
        <w:spacing w:after="40" w:before="40"/>
      </w:pPr>
      <w:r>
        <w:rPr>
          <w:rFonts w:ascii="Arial" w:cs="Arial" w:eastAsia="Arial" w:hAnsi="Arial"/>
          <w:b w:val="false"/>
          <w:bCs w:val="false"/>
          <w:color w:val="2C2C2C"/>
          <w:sz w:val="22"/>
          <w:szCs w:val="22"/>
        </w:rPr>
        <w:t xml:space="preserve">I seek declaratory relief that my disclosures constitute protected disclosures in the public interest, that the employer's conduct constituted sustained unlawful victimisation, that constructive dismissal is confirmed, and that the interdict is granted in bad faith.</w:t>
      </w:r>
    </w:p>
    <w:p>
      <w:pPr>
        <w:spacing w:after="0" w:before="0"/>
      </w:pPr>
      <w:r>
        <w:t xml:space="preserve"/>
      </w:r>
    </w:p>
    <w:p>
      <w:pPr>
        <w:spacing w:after="40" w:before="40"/>
        <w:ind w:left="360"/>
      </w:pPr>
      <w:r>
        <w:rPr>
          <w:rFonts w:ascii="Arial" w:cs="Arial" w:eastAsia="Arial" w:hAnsi="Arial"/>
          <w:b/>
          <w:bCs/>
          <w:color w:val="FFFFFF"/>
          <w:sz w:val="20"/>
          <w:szCs w:val="20"/>
          <w:highlight w:val="darkRed"/>
          <w:highlightCs w:val="darkRed"/>
        </w:rPr>
        <w:t xml:space="preserve">[HIGH]  </w:t>
      </w:r>
      <w:r>
        <w:rPr>
          <w:rFonts w:ascii="Arial" w:cs="Arial" w:eastAsia="Arial" w:hAnsi="Arial"/>
          <w:color w:val="2C2C2C"/>
          <w:sz w:val="20"/>
          <w:szCs w:val="20"/>
        </w:rPr>
        <w:t xml:space="preserve">High Court Interdict AFR1282 — granted 16 April 2026 — returnable 28 May 2026</w:t>
      </w:r>
    </w:p>
    <w:p>
      <w:pPr>
        <w:spacing w:after="40" w:before="40"/>
        <w:ind w:left="360"/>
      </w:pPr>
      <w:r>
        <w:rPr>
          <w:rFonts w:ascii="Arial" w:cs="Arial" w:eastAsia="Arial" w:hAnsi="Arial"/>
          <w:b/>
          <w:bCs/>
          <w:color w:val="FFFFFF"/>
          <w:sz w:val="20"/>
          <w:szCs w:val="20"/>
          <w:highlight w:val="darkRed"/>
          <w:highlightCs w:val="darkRed"/>
        </w:rPr>
        <w:t xml:space="preserve">[DET]  </w:t>
      </w:r>
      <w:r>
        <w:rPr>
          <w:rFonts w:ascii="Arial" w:cs="Arial" w:eastAsia="Arial" w:hAnsi="Arial"/>
          <w:color w:val="2C2C2C"/>
          <w:sz w:val="20"/>
          <w:szCs w:val="20"/>
        </w:rPr>
        <w:t xml:space="preserve">Interdict itself constitutes occupational detriment for protected disclosure — PDA s3</w:t>
      </w:r>
    </w:p>
    <w:p>
      <w:pPr>
        <w:spacing w:after="0" w:before="0"/>
      </w:pPr>
      <w:r>
        <w:t xml:space="preserve"/>
      </w:r>
    </w:p>
    <w:p>
      <w:pPr>
        <w:pBdr>
          <w:bottom w:val="single" w:color="C9A84C" w:sz="8" w:space="4"/>
        </w:pBdr>
        <w:spacing w:after="80" w:before="80"/>
      </w:pPr>
    </w:p>
    <w:p>
      <w:pPr>
        <w:pStyle w:val="Heading1"/>
        <w:shd w:fill="1B2A4A" w:val="clear"/>
        <w:spacing w:after="120" w:before="320"/>
      </w:pPr>
      <w:r>
        <w:rPr>
          <w:rFonts w:ascii="Arial" w:cs="Arial" w:eastAsia="Arial" w:hAnsi="Arial"/>
          <w:b/>
          <w:bCs/>
          <w:color w:val="FFFFFF"/>
          <w:sz w:val="28"/>
          <w:szCs w:val="28"/>
        </w:rPr>
        <w:t xml:space="preserve">PART III — THE PATTERN: INSTITUTIONAL BAD FAITH AS METHODOLOGY</w:t>
      </w:r>
    </w:p>
    <w:p>
      <w:pPr>
        <w:spacing w:after="60" w:before="60"/>
        <w:jc w:val="both"/>
      </w:pPr>
      <w:r>
        <w:rPr>
          <w:rFonts w:ascii="Arial" w:cs="Arial" w:eastAsia="Arial" w:hAnsi="Arial"/>
          <w:b w:val="false"/>
          <w:bCs w:val="false"/>
          <w:i/>
          <w:iCs/>
          <w:color w:val="2C2C2C"/>
          <w:sz w:val="22"/>
          <w:szCs w:val="22"/>
        </w:rPr>
        <w:t xml:space="preserve">The employer's conduct was not a series of isolated management failures. It was a repeating, escalating pattern of institutional bad faith that operated through ten identifiable mechanisms, each documented in the primary source evidence and each reinforcing the other.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Documents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P1 — Pay-Day Strike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Most severe adverse actions executed on or around pay day to maximise financial harm and psychological shock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PS2 (31 Jul), unpaid leave 25 Sep, DER1 (11 Nov)</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P2 — Institutional Silence</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HR, employer, and union fail to respond to formal grievances for 30+ days</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GRC1, FG2, IMP1, Executive Escalation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P3 — De-Escalation to Perpetrator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Executive management routes complaints back to the accused manager's department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DEC1, GRC3, ONE1</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P4 — Whitewashing</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Deliberate identity harassment declared a 'typo' and case closed without investigation</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TYP1, FG1, REG2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P5 — Retaliation for Disclosure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Each protected disclosure met with adverse action: insubordination accusations, unpaid leave, deductions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G1, VICT1, DER1, unpaid leave</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P6 — Character Assassination</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Employer's sworn legal filings label employee 'untruthful character,' dismiss mental health</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OA1, RA1, GRC2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P7 — Selective Policy Application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Employer enforces policies strictly against employee while ignoring identical conduct by others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RM1, HWE1, do not apply staggering</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P8 — Disability Discrimination</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Psychiatric diagnosis disclosed; employer counts absences, denies accommodation, calls it 'excuse'</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EM1, AMR1, OA1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P9 — Post-Employment Detriment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Exit documents withheld, title misrepresented on Certificate of Service, UIF not remitted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EXIT2, EXIT3, EXIT4, CERT1</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P10 — Regulatory Silencing</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 Court interdict sought to prevent disclosures to unions and regulators</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AFR1282 Interim Order</w:t>
            </w:r>
          </w:p>
        </w:tc>
      </w:tr>
    </w:tbl>
    <w:p>
      <w:pPr>
        <w:spacing w:after="0" w:before="0"/>
      </w:pPr>
      <w:r>
        <w:t xml:space="preserve"/>
      </w:r>
    </w:p>
    <w:p>
      <w:pPr>
        <w:pBdr>
          <w:bottom w:val="single" w:color="C9A84C" w:sz="8" w:space="4"/>
        </w:pBdr>
        <w:spacing w:after="80" w:before="80"/>
      </w:pPr>
    </w:p>
    <w:p>
      <w:pPr>
        <w:pStyle w:val="Heading1"/>
        <w:shd w:fill="1B2A4A" w:val="clear"/>
        <w:spacing w:after="120" w:before="320"/>
      </w:pPr>
      <w:r>
        <w:rPr>
          <w:rFonts w:ascii="Arial" w:cs="Arial" w:eastAsia="Arial" w:hAnsi="Arial"/>
          <w:b/>
          <w:bCs/>
          <w:color w:val="FFFFFF"/>
          <w:sz w:val="28"/>
          <w:szCs w:val="28"/>
        </w:rPr>
        <w:t xml:space="preserve">PART IV — THE LEGAL FRAMEWORK: WHAT WAS VIOLATED</w:t>
      </w:r>
    </w:p>
    <w:p>
      <w:pPr>
        <w:spacing w:after="60" w:before="60"/>
        <w:jc w:val="both"/>
      </w:pPr>
      <w:r>
        <w:rPr>
          <w:rFonts w:ascii="Arial" w:cs="Arial" w:eastAsia="Arial" w:hAnsi="Arial"/>
          <w:b w:val="false"/>
          <w:bCs w:val="false"/>
          <w:i/>
          <w:iCs/>
          <w:color w:val="2C2C2C"/>
          <w:sz w:val="22"/>
          <w:szCs w:val="22"/>
        </w:rPr>
        <w:t xml:space="preserve">The following table sets out each cause of action, its statutory basis, the key evidence, and the applicable remedy.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3000"/>
        <w:gridCol w:w="2400"/>
      </w:tblGrid>
      <w:tr>
        <w:tc>
          <w:tcPr>
            <w:tcW w:type="dxa" w:w="14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Cause</w:t>
            </w:r>
          </w:p>
        </w:tc>
        <w:tc>
          <w:tcPr>
            <w:tcW w:type="dxa" w:w="256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Legal Basis</w:t>
            </w:r>
          </w:p>
        </w:tc>
        <w:tc>
          <w:tcPr>
            <w:tcW w:type="dxa" w:w="30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Key Evidence</w:t>
            </w:r>
          </w:p>
        </w:tc>
        <w:tc>
          <w:tcPr>
            <w:tcW w:type="dxa" w:w="24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Remedy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Automatically Unfair Constructive Dismissal</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LRA s186(1)(e) + s187(1)(h)</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RES1, GRC1-4, OA1, all 58 docs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Max 24 months remuneration — LRA s194(3)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Unlawful Salary Deduction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BCEA s34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PS2, LIE1, REV1, DER1, POL1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Reimbursement + interest + up to 200% penalty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Gender Identity / Sexual Orientation Harassment</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EEA s6</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FG1, TYP1, FG2, T2, CCC1</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Compensation up to R500,000 or 10% turnover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Disability Discrimination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EEA s6 + s15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EM1, AMR1, OA1, Malan letter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Compensation + declaratory order</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Occupational Detriment for PDA</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PDA s3</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30 documents — see Part II</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Damages + compensation + interdict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Post-Employment Detriment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PDA s3 + BCEA s38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EXIT2, EXIT3, EXIT4, CERT1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Correction + UIF compliance order</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Procedural Bad Faith</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LRA s185 + PDA (implicit)</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28 documents — PROC category</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Compensation + declaratory order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UIF Non-Compliance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BCEA s38 + UIF 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EXIT4, 10 Feb UIF screenshot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Compliance order + penalty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CCMA Commissioner Misconduct</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CCMA Rules + LRA s138</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CCC1, forensic report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18"/>
                <w:szCs w:val="18"/>
              </w:rPr>
              <w:t xml:space="preserve">New conciliation — senior commissioner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Forensic Payroll Misrepresentation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SARS legislation + UIF 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SAHRC Update, payslip July 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SARS investigation + DEL audit</w:t>
            </w:r>
          </w:p>
        </w:tc>
      </w:tr>
    </w:tbl>
    <w:p>
      <w:pPr>
        <w:spacing w:after="0" w:before="0"/>
      </w:pPr>
      <w:r>
        <w:t xml:space="preserve"/>
      </w:r>
    </w:p>
    <w:p>
      <w:pPr>
        <w:pBdr>
          <w:bottom w:val="single" w:color="C9A84C" w:sz="8" w:space="4"/>
        </w:pBdr>
        <w:spacing w:after="80" w:before="80"/>
      </w:pPr>
    </w:p>
    <w:p>
      <w:pPr>
        <w:pStyle w:val="Heading1"/>
        <w:shd w:fill="1B2A4A" w:val="clear"/>
        <w:spacing w:after="120" w:before="320"/>
      </w:pPr>
      <w:r>
        <w:rPr>
          <w:rFonts w:ascii="Arial" w:cs="Arial" w:eastAsia="Arial" w:hAnsi="Arial"/>
          <w:b/>
          <w:bCs/>
          <w:color w:val="FFFFFF"/>
          <w:sz w:val="28"/>
          <w:szCs w:val="28"/>
        </w:rPr>
        <w:t xml:space="preserve">PART V — WHAT WAS DESTROYED: THE HUMAN COST</w:t>
      </w:r>
    </w:p>
    <w:p>
      <w:pPr>
        <w:spacing w:after="60" w:before="60"/>
        <w:jc w:val="both"/>
      </w:pPr>
      <w:r>
        <w:rPr>
          <w:rFonts w:ascii="Arial" w:cs="Arial" w:eastAsia="Arial" w:hAnsi="Arial"/>
          <w:b w:val="false"/>
          <w:bCs w:val="false"/>
          <w:i/>
          <w:iCs/>
          <w:color w:val="2C2C2C"/>
          <w:sz w:val="22"/>
          <w:szCs w:val="22"/>
        </w:rPr>
        <w:t xml:space="preserve">This section documents the cumulative harm inflicted on me as a direct result of the employer's conduct. These are not abstract damages figures. They are the lived consequences of a twelve-month campaign against a specialist nurse who identified a governance failure and reported it.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 as at April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Accommodation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 months rental arrears — eviction confirmed end March 2026</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Personal Property</w:t>
            </w:r>
          </w:p>
        </w:tc>
        <w:tc>
          <w:tcPr>
            <w:tcW w:type="dxa" w:w="6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Possessions seized by loan sharks — televisions, electronics, boxed items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Running Water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None since January 2026</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Income</w:t>
            </w:r>
          </w:p>
        </w:tc>
        <w:tc>
          <w:tcPr>
            <w:tcW w:type="dxa" w:w="6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Zero — no savings, no credit, UIF inaccessible due to employer's false UI-19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Retirement Fund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R48,400 forcibly withdrawn to survive</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Professional Registration</w:t>
            </w:r>
          </w:p>
        </w:tc>
        <w:tc>
          <w:tcPr>
            <w:tcW w:type="dxa" w:w="6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SANC deregistration — unable to practise as a nurse in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Academic Aspirations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CPUT Postgraduate Diploma acceptance — unable to enrol</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Mental Health</w:t>
            </w:r>
          </w:p>
        </w:tc>
        <w:tc>
          <w:tcPr>
            <w:tcW w:type="dxa" w:w="6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Severe depression and PTSD — Dr Jacques Malan FCPsych(SA) — ongoing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Legal Standing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Self-represented in 9 concurrent regulatory proceedings — no legal aid</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Professional Title</w:t>
            </w:r>
          </w:p>
        </w:tc>
        <w:tc>
          <w:tcPr>
            <w:tcW w:type="dxa" w:w="6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Certificate of Service falsified — career record misrepresented</w:t>
            </w:r>
          </w:p>
        </w:tc>
      </w:tr>
    </w:tbl>
    <w:p>
      <w:pPr>
        <w:spacing w:after="0" w:before="0"/>
      </w:pPr>
      <w:r>
        <w:t xml:space="preserve"/>
      </w:r>
    </w:p>
    <w:p>
      <w:pPr>
        <w:pBdr>
          <w:left w:val="single" w:color="8B1A1A" w:sz="12" w:space="8"/>
        </w:pBdr>
        <w:shd w:fill="FAE5E5" w:val="clear"/>
        <w:spacing w:after="80" w:before="80"/>
        <w:ind w:left="720" w:right="720"/>
        <w:jc w:val="both"/>
      </w:pPr>
      <w:r>
        <w:rPr>
          <w:rFonts w:ascii="Arial" w:cs="Arial" w:eastAsia="Arial" w:hAnsi="Arial"/>
          <w:i/>
          <w:iCs/>
          <w:color w:val="8B1A1A"/>
          <w:sz w:val="22"/>
          <w:szCs w:val="22"/>
        </w:rPr>
        <w:t xml:space="preserve">"They took a specialist nurse with a documented record of excellence and subjected him to public harassment, financial ruin, character assassination under oath, and finally, the loss of his home, his profession, and his professional registration. The documents speak for themselves."</w:t>
      </w:r>
    </w:p>
    <w:p>
      <w:pPr>
        <w:spacing w:after="0" w:before="0"/>
      </w:pPr>
      <w:r>
        <w:t xml:space="preserve"/>
      </w:r>
    </w:p>
    <w:p>
      <w:pPr>
        <w:pBdr>
          <w:bottom w:val="single" w:color="C9A84C" w:sz="8" w:space="4"/>
        </w:pBdr>
        <w:spacing w:after="80" w:before="80"/>
      </w:pPr>
    </w:p>
    <w:p>
      <w:pPr>
        <w:pStyle w:val="Heading1"/>
        <w:shd w:fill="1B2A4A" w:val="clear"/>
        <w:spacing w:after="120" w:before="320"/>
      </w:pPr>
      <w:r>
        <w:rPr>
          <w:rFonts w:ascii="Arial" w:cs="Arial" w:eastAsia="Arial" w:hAnsi="Arial"/>
          <w:b/>
          <w:bCs/>
          <w:color w:val="FFFFFF"/>
          <w:sz w:val="28"/>
          <w:szCs w:val="28"/>
        </w:rPr>
        <w:t xml:space="preserve">PART VI — THE CRITICAL CONTRADICTIONS</w:t>
      </w:r>
    </w:p>
    <w:p>
      <w:pPr>
        <w:spacing w:after="60" w:before="60"/>
        <w:jc w:val="both"/>
      </w:pPr>
      <w:r>
        <w:rPr>
          <w:rFonts w:ascii="Arial" w:cs="Arial" w:eastAsia="Arial" w:hAnsi="Arial"/>
          <w:b w:val="false"/>
          <w:bCs w:val="false"/>
          <w:i/>
          <w:iCs/>
          <w:color w:val="2C2C2C"/>
          <w:sz w:val="22"/>
          <w:szCs w:val="22"/>
        </w:rPr>
        <w:t xml:space="preserve">The following contradictions are documented across the primary source evidence. Each contradiction demonstrates bad faith, misrepresentation, or unlawful conduct on the part of the employer.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760"/>
        <w:gridCol w:w="2760"/>
        <w:gridCol w:w="3360"/>
      </w:tblGrid>
      <w:tr>
        <w:tc>
          <w:tcPr>
            <w:tcW w:type="dxa" w:w="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Employer Statement A</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Employer Statement B</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16 Apr 2025: 'We do not apply staggering of money owed'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24 Jul 2025: Company policy explicitly allows staggering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Bad faith — BCEA s34 violation</w:t>
            </w:r>
          </w:p>
        </w:tc>
      </w:tr>
      <w:tr>
        <w:tc>
          <w:tcPr>
            <w:tcW w:type="dxa" w:w="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C2</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Certificate of Service: 'Care Coordinator'</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Founding Affidavit: relies on 'Case Manager' authority</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Fraud — title suppressed on statutory documents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Colleagues confirm: employees choose own 2 weeks hybrid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Manager instructs employee to return to office first week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Singling out — ULP</w:t>
            </w:r>
          </w:p>
        </w:tc>
      </w:tr>
      <w:tr>
        <w:tc>
          <w:tcPr>
            <w:tcW w:type="dxa" w:w="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C4</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HR: 'You will not be required to meet the manager'</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Accused manager logs unpaid leave same day — employee forced to meet</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Procedural bad faith — DET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DER1: 'The company is not a loan company'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POL1: Company policy allows staggering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Unlawful deduction — BCEA s34</w:t>
            </w:r>
          </w:p>
        </w:tc>
      </w:tr>
      <w:tr>
        <w:tc>
          <w:tcPr>
            <w:tcW w:type="dxa" w:w="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C6</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EM1: Doctor's letter — severe depression and PTSD</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OA1 sworn affidavit: 'mental issues are an excuse'</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Disability discrimination — EEA s15</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Employer's B-BBEE compliance reports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REG2: B-BBEE Commission notes 'suspicion of fronting'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Governance fronting — B-BBEE Act</w:t>
            </w:r>
          </w:p>
        </w:tc>
      </w:tr>
      <w:tr>
        <w:tc>
          <w:tcPr>
            <w:tcW w:type="dxa" w:w="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C8</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Founding affidavit relies on employee as 'Case Manager'</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Certificate of Service designates 'Care Coordinator'</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Cannot have it both ways — bad faith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Founding affidavit: Gexus and DMS 'designed to work together'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Employer denies integration gap constitutes system failure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Admission of design flaw — cannot deny failure</w:t>
            </w:r>
          </w:p>
        </w:tc>
      </w:tr>
      <w:tr>
        <w:tc>
          <w:tcPr>
            <w:tcW w:type="dxa" w:w="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C10</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Founding affidavit: employee 'conceded' R180m was imprecise</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GVW5: Employee corrected terminology — did not withdraw complaint</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Misrepresentation to court — employer omits context</w:t>
            </w:r>
          </w:p>
        </w:tc>
      </w:tr>
    </w:tbl>
    <w:p>
      <w:pPr>
        <w:spacing w:after="0" w:before="0"/>
      </w:pPr>
      <w:r>
        <w:t xml:space="preserve"/>
      </w:r>
    </w:p>
    <w:p>
      <w:pPr>
        <w:pBdr>
          <w:bottom w:val="single" w:color="C9A84C" w:sz="8" w:space="4"/>
        </w:pBdr>
        <w:spacing w:after="80" w:before="80"/>
      </w:pPr>
    </w:p>
    <w:p>
      <w:pPr>
        <w:pStyle w:val="Heading1"/>
        <w:shd w:fill="1B2A4A" w:val="clear"/>
        <w:spacing w:after="120" w:before="320"/>
      </w:pPr>
      <w:r>
        <w:rPr>
          <w:rFonts w:ascii="Arial" w:cs="Arial" w:eastAsia="Arial" w:hAnsi="Arial"/>
          <w:b/>
          <w:bCs/>
          <w:color w:val="FFFFFF"/>
          <w:sz w:val="28"/>
          <w:szCs w:val="28"/>
        </w:rPr>
        <w:t xml:space="preserve">PART VII — PRAYER FOR RELIEF</w:t>
      </w:r>
    </w:p>
    <w:p>
      <w:pPr>
        <w:spacing w:after="60" w:before="60"/>
        <w:jc w:val="both"/>
      </w:pPr>
      <w:r>
        <w:rPr>
          <w:rFonts w:ascii="Arial" w:cs="Arial" w:eastAsia="Arial" w:hAnsi="Arial"/>
          <w:b w:val="false"/>
          <w:bCs w:val="false"/>
          <w:i/>
          <w:iCs/>
          <w:color w:val="2C2C2C"/>
          <w:sz w:val="22"/>
          <w:szCs w:val="22"/>
        </w:rPr>
        <w:t xml:space="preserve">Before this Honourable Court, I seek the following relief. Each item is grounded in the documented evidence set out in this Manifesto and the attached annexure bundle.</w:t>
      </w:r>
    </w:p>
    <w:p>
      <w:pPr>
        <w:pStyle w:val="Heading2"/>
        <w:pBdr>
          <w:left w:val="single" w:color="C9A84C" w:sz="12" w:space="6"/>
        </w:pBdr>
        <w:spacing w:after="80" w:before="240"/>
      </w:pPr>
      <w:r>
        <w:rPr>
          <w:rFonts w:ascii="Arial" w:cs="Arial" w:eastAsia="Arial" w:hAnsi="Arial"/>
          <w:b/>
          <w:bCs/>
          <w:color w:val="1B2A4A"/>
          <w:sz w:val="24"/>
          <w:szCs w:val="24"/>
        </w:rPr>
        <w:t xml:space="preserve">7.1  Primary Labour Court Relief</w:t>
      </w:r>
    </w:p>
    <w:p>
      <w:pPr>
        <w:pStyle w:val="ListParagraph"/>
        <w:numPr>
          <w:ilvl w:val="0"/>
          <w:numId w:val="3"/>
        </w:numPr>
        <w:spacing w:after="40" w:before="40"/>
      </w:pPr>
      <w:r>
        <w:rPr>
          <w:rFonts w:ascii="Arial" w:cs="Arial" w:eastAsia="Arial" w:hAnsi="Arial"/>
          <w:b w:val="false"/>
          <w:bCs w:val="false"/>
          <w:color w:val="2C2C2C"/>
          <w:sz w:val="22"/>
          <w:szCs w:val="22"/>
        </w:rPr>
        <w:t xml:space="preserve">A declaratory order that my resignation on 11 December 2025 constitutes automatically unfair constructive dismissal under Sections 186(1)(e) and 187(1)(h) of the Labour Relations Act 66 of 1995, by reason of my protected disclosures under the Protected Disclosures Act 26 of 2000;</w:t>
      </w:r>
    </w:p>
    <w:p>
      <w:pPr>
        <w:pStyle w:val="ListParagraph"/>
        <w:numPr>
          <w:ilvl w:val="0"/>
          <w:numId w:val="3"/>
        </w:numPr>
        <w:spacing w:after="40" w:before="40"/>
      </w:pPr>
      <w:r>
        <w:rPr>
          <w:rFonts w:ascii="Arial" w:cs="Arial" w:eastAsia="Arial" w:hAnsi="Arial"/>
          <w:b w:val="false"/>
          <w:bCs w:val="false"/>
          <w:color w:val="2C2C2C"/>
          <w:sz w:val="22"/>
          <w:szCs w:val="22"/>
        </w:rPr>
        <w:t xml:space="preserve">Maximum compensation of 24 months' remuneration under Section 194(3) of the LRA;</w:t>
      </w:r>
    </w:p>
    <w:p>
      <w:pPr>
        <w:pStyle w:val="ListParagraph"/>
        <w:numPr>
          <w:ilvl w:val="0"/>
          <w:numId w:val="3"/>
        </w:numPr>
        <w:spacing w:after="40" w:before="40"/>
      </w:pPr>
      <w:r>
        <w:rPr>
          <w:rFonts w:ascii="Arial" w:cs="Arial" w:eastAsia="Arial" w:hAnsi="Arial"/>
          <w:b w:val="false"/>
          <w:bCs w:val="false"/>
          <w:color w:val="2C2C2C"/>
          <w:sz w:val="22"/>
          <w:szCs w:val="22"/>
        </w:rPr>
        <w:t xml:space="preserve">A compensation order for the unlawful salary deduction of R14,811.77 (40.47% of normal earnings) made without written consent, without consultation, and in breach of Section 34 of the BCEA, together with interest and a penalty not exceeding 200% of the deducted amount;</w:t>
      </w:r>
    </w:p>
    <w:p>
      <w:pPr>
        <w:pStyle w:val="ListParagraph"/>
        <w:numPr>
          <w:ilvl w:val="0"/>
          <w:numId w:val="3"/>
        </w:numPr>
        <w:spacing w:after="40" w:before="40"/>
      </w:pPr>
      <w:r>
        <w:rPr>
          <w:rFonts w:ascii="Arial" w:cs="Arial" w:eastAsia="Arial" w:hAnsi="Arial"/>
          <w:b w:val="false"/>
          <w:bCs w:val="false"/>
          <w:color w:val="2C2C2C"/>
          <w:sz w:val="22"/>
          <w:szCs w:val="22"/>
        </w:rPr>
        <w:t xml:space="preserve">A compensation order under Section 6 of the EEA for gender identity and sexual orientation harassment ('Wilma' incident);</w:t>
      </w:r>
    </w:p>
    <w:p>
      <w:pPr>
        <w:pStyle w:val="ListParagraph"/>
        <w:numPr>
          <w:ilvl w:val="0"/>
          <w:numId w:val="3"/>
        </w:numPr>
        <w:spacing w:after="40" w:before="40"/>
      </w:pPr>
      <w:r>
        <w:rPr>
          <w:rFonts w:ascii="Arial" w:cs="Arial" w:eastAsia="Arial" w:hAnsi="Arial"/>
          <w:b w:val="false"/>
          <w:bCs w:val="false"/>
          <w:color w:val="2C2C2C"/>
          <w:sz w:val="22"/>
          <w:szCs w:val="22"/>
        </w:rPr>
        <w:t xml:space="preserve">A compensation order under Section 6 read with Section 15 of the EEA for failure to reasonably accommodate my documented disability (severe depression and PTSD);</w:t>
      </w:r>
    </w:p>
    <w:p>
      <w:pPr>
        <w:pStyle w:val="ListParagraph"/>
        <w:numPr>
          <w:ilvl w:val="0"/>
          <w:numId w:val="3"/>
        </w:numPr>
        <w:spacing w:after="40" w:before="40"/>
      </w:pPr>
      <w:r>
        <w:rPr>
          <w:rFonts w:ascii="Arial" w:cs="Arial" w:eastAsia="Arial" w:hAnsi="Arial"/>
          <w:b w:val="false"/>
          <w:bCs w:val="false"/>
          <w:color w:val="2C2C2C"/>
          <w:sz w:val="22"/>
          <w:szCs w:val="22"/>
        </w:rPr>
        <w:t xml:space="preserve">Damages for post-employment detriment including the falsified Certificate of Service, withheld UI-19, and UIF non-remittance;</w:t>
      </w:r>
    </w:p>
    <w:p>
      <w:pPr>
        <w:pStyle w:val="ListParagraph"/>
        <w:numPr>
          <w:ilvl w:val="0"/>
          <w:numId w:val="3"/>
        </w:numPr>
        <w:spacing w:after="40" w:before="40"/>
      </w:pPr>
      <w:r>
        <w:rPr>
          <w:rFonts w:ascii="Arial" w:cs="Arial" w:eastAsia="Arial" w:hAnsi="Arial"/>
          <w:b w:val="false"/>
          <w:bCs w:val="false"/>
          <w:color w:val="2C2C2C"/>
          <w:sz w:val="22"/>
          <w:szCs w:val="22"/>
        </w:rPr>
        <w:t xml:space="preserve">A costs order on the scale as this Court deems appropriate in the circumstances;</w:t>
      </w:r>
    </w:p>
    <w:p>
      <w:pPr>
        <w:pStyle w:val="Heading2"/>
        <w:pBdr>
          <w:left w:val="single" w:color="C9A84C" w:sz="12" w:space="6"/>
        </w:pBdr>
        <w:spacing w:after="80" w:before="240"/>
      </w:pPr>
      <w:r>
        <w:rPr>
          <w:rFonts w:ascii="Arial" w:cs="Arial" w:eastAsia="Arial" w:hAnsi="Arial"/>
          <w:b/>
          <w:bCs/>
          <w:color w:val="1B2A4A"/>
          <w:sz w:val="24"/>
          <w:szCs w:val="24"/>
        </w:rPr>
        <w:t xml:space="preserve">7.2  High Court — Interdict Proceedings (AFR1282, returnable 28 May 2026)</w:t>
      </w:r>
    </w:p>
    <w:p>
      <w:pPr>
        <w:pStyle w:val="ListParagraph"/>
        <w:numPr>
          <w:ilvl w:val="0"/>
          <w:numId w:val="3"/>
        </w:numPr>
        <w:spacing w:after="40" w:before="40"/>
      </w:pPr>
      <w:r>
        <w:rPr>
          <w:rFonts w:ascii="Arial" w:cs="Arial" w:eastAsia="Arial" w:hAnsi="Arial"/>
          <w:b w:val="false"/>
          <w:bCs w:val="false"/>
          <w:color w:val="2C2C2C"/>
          <w:sz w:val="22"/>
          <w:szCs w:val="22"/>
        </w:rPr>
        <w:t xml:space="preserve">A declaratory order that my disclosures constitute protected disclosures in the public interest under Sections 1 and 5 of the PDA;</w:t>
      </w:r>
    </w:p>
    <w:p>
      <w:pPr>
        <w:pStyle w:val="ListParagraph"/>
        <w:numPr>
          <w:ilvl w:val="0"/>
          <w:numId w:val="3"/>
        </w:numPr>
        <w:spacing w:after="40" w:before="40"/>
      </w:pPr>
      <w:r>
        <w:rPr>
          <w:rFonts w:ascii="Arial" w:cs="Arial" w:eastAsia="Arial" w:hAnsi="Arial"/>
          <w:b w:val="false"/>
          <w:bCs w:val="false"/>
          <w:color w:val="2C2C2C"/>
          <w:sz w:val="22"/>
          <w:szCs w:val="22"/>
        </w:rPr>
        <w:t xml:space="preserve">Dismissal of the rule nisi and dissolution of the interim interdict, with costs on the attorney and client scale, by reason of the employer's approach to this Court with 'dirty hands';</w:t>
      </w:r>
    </w:p>
    <w:p>
      <w:pPr>
        <w:pStyle w:val="ListParagraph"/>
        <w:numPr>
          <w:ilvl w:val="0"/>
          <w:numId w:val="3"/>
        </w:numPr>
        <w:spacing w:after="40" w:before="40"/>
      </w:pPr>
      <w:r>
        <w:rPr>
          <w:rFonts w:ascii="Arial" w:cs="Arial" w:eastAsia="Arial" w:hAnsi="Arial"/>
          <w:b w:val="false"/>
          <w:bCs w:val="false"/>
          <w:color w:val="2C2C2C"/>
          <w:sz w:val="22"/>
          <w:szCs w:val="22"/>
        </w:rPr>
        <w:t xml:space="preserve">A declaratory order that the employer's conduct constituted a sustained campaign of unlawful workplace victimisation;</w:t>
      </w:r>
    </w:p>
    <w:p>
      <w:pPr>
        <w:pStyle w:val="ListParagraph"/>
        <w:numPr>
          <w:ilvl w:val="0"/>
          <w:numId w:val="3"/>
        </w:numPr>
        <w:spacing w:after="40" w:before="40"/>
      </w:pPr>
      <w:r>
        <w:rPr>
          <w:rFonts w:ascii="Arial" w:cs="Arial" w:eastAsia="Arial" w:hAnsi="Arial"/>
          <w:b w:val="false"/>
          <w:bCs w:val="false"/>
          <w:color w:val="2C2C2C"/>
          <w:sz w:val="22"/>
          <w:szCs w:val="22"/>
        </w:rPr>
        <w:t xml:space="preserve">Discovery of: (a) the unredacted CMS Business Plan justifying the 9.5% premium increase; (b) the Actuarial Risk Profiling Logs from Gexus/DMS platforms fed into APN 303 models since October 2025; and (c) the unedited 'Naming Convention' Microsoft Teams meeting recording;</w:t>
      </w:r>
    </w:p>
    <w:p>
      <w:pPr>
        <w:pStyle w:val="Heading2"/>
        <w:pBdr>
          <w:left w:val="single" w:color="C9A84C" w:sz="12" w:space="6"/>
        </w:pBdr>
        <w:spacing w:after="80" w:before="240"/>
      </w:pPr>
      <w:r>
        <w:rPr>
          <w:rFonts w:ascii="Arial" w:cs="Arial" w:eastAsia="Arial" w:hAnsi="Arial"/>
          <w:b/>
          <w:bCs/>
          <w:color w:val="1B2A4A"/>
          <w:sz w:val="24"/>
          <w:szCs w:val="24"/>
        </w:rPr>
        <w:t xml:space="preserve">7.3  Regulatory Relief</w:t>
      </w:r>
    </w:p>
    <w:p>
      <w:pPr>
        <w:pStyle w:val="ListParagraph"/>
        <w:numPr>
          <w:ilvl w:val="0"/>
          <w:numId w:val="3"/>
        </w:numPr>
        <w:spacing w:after="40" w:before="40"/>
      </w:pPr>
      <w:r>
        <w:rPr>
          <w:rFonts w:ascii="Arial" w:cs="Arial" w:eastAsia="Arial" w:hAnsi="Arial"/>
          <w:b w:val="false"/>
          <w:bCs w:val="false"/>
          <w:color w:val="2C2C2C"/>
          <w:sz w:val="22"/>
          <w:szCs w:val="22"/>
        </w:rPr>
        <w:t xml:space="preserve">A referral to the Department of Employment and Labour for a compliance audit of UIF remittance for June 2025 and investigation of the false UI-19 designation ('voluntary resignation');</w:t>
      </w:r>
    </w:p>
    <w:p>
      <w:pPr>
        <w:pStyle w:val="ListParagraph"/>
        <w:numPr>
          <w:ilvl w:val="0"/>
          <w:numId w:val="3"/>
        </w:numPr>
        <w:spacing w:after="40" w:before="40"/>
      </w:pPr>
      <w:r>
        <w:rPr>
          <w:rFonts w:ascii="Arial" w:cs="Arial" w:eastAsia="Arial" w:hAnsi="Arial"/>
          <w:b w:val="false"/>
          <w:bCs w:val="false"/>
          <w:color w:val="2C2C2C"/>
          <w:sz w:val="22"/>
          <w:szCs w:val="22"/>
        </w:rPr>
        <w:t xml:space="preserve">Referral to SARS for investigation of the R5,948.62 payroll discrepancy between the July 2025 payslip gross and the employer's SARS/UIF declaration;</w:t>
      </w:r>
    </w:p>
    <w:p>
      <w:pPr>
        <w:pStyle w:val="ListParagraph"/>
        <w:numPr>
          <w:ilvl w:val="0"/>
          <w:numId w:val="3"/>
        </w:numPr>
        <w:spacing w:after="40" w:before="40"/>
      </w:pPr>
      <w:r>
        <w:rPr>
          <w:rFonts w:ascii="Arial" w:cs="Arial" w:eastAsia="Arial" w:hAnsi="Arial"/>
          <w:b w:val="false"/>
          <w:bCs w:val="false"/>
          <w:color w:val="2C2C2C"/>
          <w:sz w:val="22"/>
          <w:szCs w:val="22"/>
        </w:rPr>
        <w:t xml:space="preserve">A new CCMA conciliation before a senior commissioner with competence in PDA matters, following the confirmed bias of Commissioner Nthabiseng Ngwane;</w:t>
      </w:r>
    </w:p>
    <w:p>
      <w:pPr>
        <w:pStyle w:val="ListParagraph"/>
        <w:numPr>
          <w:ilvl w:val="0"/>
          <w:numId w:val="3"/>
        </w:numPr>
        <w:spacing w:after="40" w:before="40"/>
      </w:pPr>
      <w:r>
        <w:rPr>
          <w:rFonts w:ascii="Arial" w:cs="Arial" w:eastAsia="Arial" w:hAnsi="Arial"/>
          <w:b w:val="false"/>
          <w:bCs w:val="false"/>
          <w:color w:val="2C2C2C"/>
          <w:sz w:val="22"/>
          <w:szCs w:val="22"/>
        </w:rPr>
        <w:t xml:space="preserve">Referral of this judgment and this documentary record to the B-BBEE Commission (active Case No. 5/2/2026) and the Council for Medical Schemes;</w:t>
      </w:r>
    </w:p>
    <w:p>
      <w:pPr>
        <w:spacing w:after="0" w:before="0"/>
      </w:pPr>
      <w:r>
        <w:t xml:space="preserve"/>
      </w:r>
    </w:p>
    <w:p>
      <w:pPr>
        <w:pBdr>
          <w:bottom w:val="single" w:color="C9A84C" w:sz="8" w:space="4"/>
        </w:pBdr>
        <w:spacing w:after="80" w:before="80"/>
      </w:pPr>
    </w:p>
    <w:p>
      <w:pPr>
        <w:pStyle w:val="Heading1"/>
        <w:shd w:fill="1B2A4A" w:val="clear"/>
        <w:spacing w:after="120" w:before="320"/>
      </w:pPr>
      <w:r>
        <w:rPr>
          <w:rFonts w:ascii="Arial" w:cs="Arial" w:eastAsia="Arial" w:hAnsi="Arial"/>
          <w:b/>
          <w:bCs/>
          <w:color w:val="FFFFFF"/>
          <w:sz w:val="28"/>
          <w:szCs w:val="28"/>
        </w:rPr>
        <w:t xml:space="preserve">PART VIII — CONCLUSION: THE MORAL AND LEGAL JUDGMENT IS CLEAR</w:t>
      </w:r>
    </w:p>
    <w:p>
      <w:pPr>
        <w:spacing w:after="0" w:before="0"/>
      </w:pPr>
      <w:r>
        <w:t xml:space="preserve"/>
      </w:r>
    </w:p>
    <w:p>
      <w:pPr>
        <w:spacing w:after="60" w:before="60"/>
        <w:jc w:val="both"/>
      </w:pPr>
      <w:r>
        <w:rPr>
          <w:rFonts w:ascii="Arial" w:cs="Arial" w:eastAsia="Arial" w:hAnsi="Arial"/>
          <w:b w:val="false"/>
          <w:bCs w:val="false"/>
          <w:i w:val="false"/>
          <w:iCs w:val="false"/>
          <w:color w:val="2C2C2C"/>
          <w:sz w:val="22"/>
          <w:szCs w:val="22"/>
        </w:rPr>
        <w:t xml:space="preserve">I have done everything correctly. I reported a P1-grade patient safety risk affecting 1.9 million South Africans. I reported identity-based harassment targeting my dignity as a gay man. I reported an unlawful salary deduction that exceeded the statutory maximum by more than sixty percent. I filed formal grievances. I escalated to executive leadership. I gave the employer every opportunity to act with integrity.</w:t>
      </w:r>
    </w:p>
    <w:p>
      <w:pPr>
        <w:spacing w:after="0" w:before="0"/>
      </w:pPr>
      <w:r>
        <w:t xml:space="preserve"/>
      </w:r>
    </w:p>
    <w:p>
      <w:pPr>
        <w:spacing w:after="60" w:before="60"/>
        <w:jc w:val="both"/>
      </w:pPr>
      <w:r>
        <w:rPr>
          <w:rFonts w:ascii="Arial" w:cs="Arial" w:eastAsia="Arial" w:hAnsi="Arial"/>
          <w:b w:val="false"/>
          <w:bCs w:val="false"/>
          <w:i w:val="false"/>
          <w:iCs w:val="false"/>
          <w:color w:val="2C2C2C"/>
          <w:sz w:val="22"/>
          <w:szCs w:val="22"/>
        </w:rPr>
        <w:t xml:space="preserve">The employer responded with institutional silence, whitewashing, financial cruelty, character assassination under oath, and a High Court interdict. It called my disclosures 'extortion.' It called my mental health diagnosis an 'excuse.' It called me 'untruthful.' It instructed its Chief Risk Officer to tell me to stop emailing directors. And when every internal channel failed, it went to the High Court to silence me permanently.</w:t>
      </w:r>
    </w:p>
    <w:p>
      <w:pPr>
        <w:spacing w:after="0" w:before="0"/>
      </w:pPr>
      <w:r>
        <w:t xml:space="preserve"/>
      </w:r>
    </w:p>
    <w:p>
      <w:pPr>
        <w:spacing w:after="60" w:before="60"/>
        <w:jc w:val="both"/>
      </w:pPr>
      <w:r>
        <w:rPr>
          <w:rFonts w:ascii="Arial" w:cs="Arial" w:eastAsia="Arial" w:hAnsi="Arial"/>
          <w:b w:val="false"/>
          <w:bCs w:val="false"/>
          <w:i w:val="false"/>
          <w:iCs w:val="false"/>
          <w:color w:val="2C2C2C"/>
          <w:sz w:val="22"/>
          <w:szCs w:val="22"/>
        </w:rPr>
        <w:t xml:space="preserve">The documentary evidence before this Court is not a collection of grievances. It is a forensic record — meticulous, contemporaneous, corroborated, and complete. Fifty-eight documents. Ten patterns. Ten critical contradictions. Eight regulators notified. A R5,948.62 payroll discrepancy. A 40.47% unlawful deduction. A deliberate 'Wilma.' A broken HR promise. A Chief Risk Officer silencing a whistleblower. A Group CEO filing an interdict to stop a nurse from talking to trade unions.</w:t>
      </w:r>
    </w:p>
    <w:p>
      <w:pPr>
        <w:spacing w:after="0" w:before="0"/>
      </w:pPr>
      <w:r>
        <w:t xml:space="preserve"/>
      </w:r>
    </w:p>
    <w:p>
      <w:pPr>
        <w:pBdr>
          <w:left w:val="single" w:color="8B1A1A" w:sz="12" w:space="8"/>
        </w:pBdr>
        <w:shd w:fill="FAE5E5" w:val="clear"/>
        <w:spacing w:after="80" w:before="80"/>
        <w:ind w:left="720" w:right="720"/>
        <w:jc w:val="both"/>
      </w:pPr>
      <w:r>
        <w:rPr>
          <w:rFonts w:ascii="Arial" w:cs="Arial" w:eastAsia="Arial" w:hAnsi="Arial"/>
          <w:i/>
          <w:iCs/>
          <w:color w:val="8B1A1A"/>
          <w:sz w:val="22"/>
          <w:szCs w:val="22"/>
        </w:rPr>
        <w:t xml:space="preserve">"The employer did not merely fail to protect me. It actively punished me for speaking up. The regulators now hold the evidence. This Honourable Court will determine the compensation. But the moral judgment is already clear."</w:t>
      </w:r>
    </w:p>
    <w:p>
      <w:pPr>
        <w:spacing w:after="0" w:before="0"/>
      </w:pPr>
      <w:r>
        <w:t xml:space="preserve"/>
      </w:r>
    </w:p>
    <w:p>
      <w:pPr>
        <w:spacing w:after="60" w:before="60"/>
        <w:jc w:val="both"/>
      </w:pPr>
      <w:r>
        <w:rPr>
          <w:rFonts w:ascii="Arial" w:cs="Arial" w:eastAsia="Arial" w:hAnsi="Arial"/>
          <w:b/>
          <w:bCs/>
          <w:i w:val="false"/>
          <w:iCs w:val="false"/>
          <w:color w:val="1B2A4A"/>
          <w:sz w:val="22"/>
          <w:szCs w:val="22"/>
        </w:rPr>
        <w:t xml:space="preserve">I am Wilbur William Matthee. I am a Specialist Registered Nurse. I am a forensic governance practitioner. I am a whistleblower. I am still here. And I am asking this Court to see — clearly, fully, and without qualification — what was done to me, and why it must not stand.</w:t>
      </w:r>
    </w:p>
    <w:p>
      <w:pPr>
        <w:spacing w:after="0" w:before="0"/>
      </w:pPr>
      <w:r>
        <w:t xml:space="preserve"/>
      </w:r>
    </w:p>
    <w:p>
      <w:pPr>
        <w:spacing w:after="120" w:before="120"/>
        <w:jc w:val="center"/>
      </w:pPr>
      <w:r>
        <w:rPr>
          <w:rFonts w:ascii="Arial" w:cs="Arial" w:eastAsia="Arial" w:hAnsi="Arial"/>
          <w:b/>
          <w:bCs/>
          <w:color w:val="1B2A4A"/>
          <w:sz w:val="22"/>
          <w:szCs w:val="22"/>
        </w:rPr>
        <w:t xml:space="preserve">EthicHawks — Forensic Governance &amp; Compliance Consultancy</w:t>
      </w:r>
    </w:p>
    <w:p>
      <w:pPr>
        <w:spacing w:after="40" w:before="40"/>
        <w:jc w:val="center"/>
      </w:pPr>
      <w:r>
        <w:rPr>
          <w:rFonts w:ascii="Arial" w:cs="Arial" w:eastAsia="Arial" w:hAnsi="Arial"/>
          <w:color w:val="C9A84C"/>
          <w:sz w:val="20"/>
          <w:szCs w:val="20"/>
        </w:rPr>
        <w:t xml:space="preserve">info@ethichawks.co.za  |  Cape Town, South Africa</w:t>
      </w:r>
    </w:p>
    <w:p>
      <w:pPr>
        <w:spacing w:after="40" w:before="40"/>
        <w:jc w:val="center"/>
      </w:pPr>
      <w:r>
        <w:rPr>
          <w:rFonts w:ascii="Arial" w:cs="Arial" w:eastAsia="Arial" w:hAnsi="Arial"/>
          <w:i/>
          <w:iCs/>
          <w:color w:val="2C2C2C"/>
          <w:sz w:val="18"/>
          <w:szCs w:val="18"/>
        </w:rPr>
        <w:t xml:space="preserve">Compiled April 2026 — All Rights Reserved</w:t>
      </w:r>
    </w:p>
    <w:p>
      <w:pPr>
        <w:spacing w:after="0" w:before="0"/>
      </w:pPr>
      <w:r>
        <w:t xml:space="preserve"/>
      </w:r>
    </w:p>
    <w:p>
      <w:pPr>
        <w:pBdr>
          <w:bottom w:val="single" w:color="C9A84C" w:sz="8" w:space="4"/>
        </w:pBdr>
        <w:spacing w:after="80" w:before="80"/>
      </w:pPr>
    </w:p>
    <w:p>
      <w:pPr>
        <w:pStyle w:val="Heading1"/>
        <w:shd w:fill="1B2A4A" w:val="clear"/>
        <w:spacing w:after="120" w:before="320"/>
      </w:pPr>
      <w:r>
        <w:rPr>
          <w:rFonts w:ascii="Arial" w:cs="Arial" w:eastAsia="Arial" w:hAnsi="Arial"/>
          <w:b/>
          <w:bCs/>
          <w:color w:val="FFFFFF"/>
          <w:sz w:val="28"/>
          <w:szCs w:val="28"/>
        </w:rPr>
        <w:t xml:space="preserve">ANNEXURE INDEX — EVIDENTIARY BUNDLE</w:t>
      </w:r>
    </w:p>
    <w:p>
      <w:pPr>
        <w:spacing w:after="60" w:before="60"/>
        <w:jc w:val="both"/>
      </w:pPr>
      <w:r>
        <w:rPr>
          <w:rFonts w:ascii="Arial" w:cs="Arial" w:eastAsia="Arial" w:hAnsi="Arial"/>
          <w:b w:val="false"/>
          <w:bCs w:val="false"/>
          <w:i/>
          <w:iCs/>
          <w:color w:val="2C2C2C"/>
          <w:sz w:val="22"/>
          <w:szCs w:val="22"/>
        </w:rPr>
        <w:t xml:space="preserve">The following documents constitute the primary evidentiary record referenced in this Manifesto.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800"/>
        <w:gridCol w:w="2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 Not Apply Staggering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16 Apr 2025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SAL / GRC1</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ANI1</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Appointment / Salary Confirmation</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21 Apr 2025</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Baseline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CPD1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CPD Programme (Employee-Developed)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22 Apr 2025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IP Misappropriation</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EM1</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Mental Health Disclosure — Dr Jacques Malan</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16 May 2025</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EEA s15 / GRC1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BDC1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Leaving Work — Withdrawal Symptoms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 May 2025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ULP / EEA</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AMR1</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Absence Management Review — 67 Days</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24 Jun 2025</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GRC1(2)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PS2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Payslip — 40.47% Deduction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31 Jul 2025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SAL / GRC1</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FG1/FG2</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Gender Identity Discrimination Formal Complaint</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25 Sep 2025</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HAR / GRC1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TYP1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'Typo' Whitewash Resolution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 Oct 2025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PROC / DET</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T2</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Video Transcript MJ &amp; WM</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31 Oct 2025</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PROC / GRC1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IMP1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Impact Statement on October Retaliation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 Nov 2025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GRC1 / DET</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REV1 series</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Salary Deduction Review Correspondence</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2–12 Nov 2025</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SAL / GRC1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DER1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Derogatory Comments — 'Online Deliveries'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11 Nov 2025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DET / GRC1</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OA1</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Employer Opposing Affidavit</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10 Dec 2025</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GRC1 / DET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RES1 series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Formal Notice of Constructive Dismissal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11 Dec 2025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 / GRC1</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CRO1</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'Stop Sending Emails' — Chief Risk Officer</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18 Dec 2025</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DET / PDA s3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REG1-REG6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Regulatory Notifications (JSE, FSCA, CMS, SAHRC, DEL, B-BBEE)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23 Dec 2025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WHISTLE</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KWA1</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Media Exposé — Daily Maverick</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9 Jan 2026</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WHISTLE / GRC1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CCC1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CCMA Commissioner Nthabiseng — Misconduct Complaint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10 Jan 2026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CCMA</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EXIT3/4</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UIF Non-Compliance / Certificate of Service Misrepresentation</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15–19 Jan 2026</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BCEA / DET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UIF Screenshot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uFiling — 'No Information' June 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10 Feb 2026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BCEA s38</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EHS-LEAD1</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First Aider Roster — Specialist/Management Function</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25 Jul 2025</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Title Evidence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Forensic Report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EthicHawks Forensic Report WECT24486-25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5 Apr 2026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CCMA Bias</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SAHRC Update</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Comprehensive SAHRC Update — Payroll Anomaly</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13 Mar 2026</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Forensic / Human Rights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AFR1282 Order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 Court Interim Interdict Order — Acting Justice Mphego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16 Apr 2026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Answering Affidavit</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Supplementary Answering Affidavit — Case 160/2026</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Apr 2026</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 / PDA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Recruitment Emails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Vacancy &amp; Interview — Specialist Care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Jan 2024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Bait-and-Switch Evidence</w:t>
            </w:r>
          </w:p>
        </w:tc>
      </w:tr>
    </w:tbl>
    <w:p>
      <w:pPr>
        <w:spacing w:after="0" w:before="0"/>
      </w:pPr>
      <w:r>
        <w:t xml:space="preserve"/>
      </w:r>
    </w:p>
    <w:p>
      <w:pPr>
        <w:pBdr>
          <w:top w:val="single" w:color="C9A84C" w:sz="8"/>
          <w:bottom w:val="single" w:color="C9A84C" w:sz="8"/>
        </w:pBdr>
        <w:spacing w:after="80" w:before="160"/>
        <w:jc w:val="center"/>
      </w:pPr>
      <w:r>
        <w:rPr>
          <w:rFonts w:ascii="Arial" w:cs="Arial" w:eastAsia="Arial" w:hAnsi="Arial"/>
          <w:b/>
          <w:bCs/>
          <w:color w:val="1B2A4A"/>
          <w:sz w:val="20"/>
          <w:szCs w:val="20"/>
        </w:rPr>
        <w:t xml:space="preserve">ETHICHAWKS FORENSIC GOVERNANCE &amp; COMPLIANCE CONSULTANCY</w:t>
      </w:r>
    </w:p>
    <w:p>
      <w:pPr>
        <w:spacing w:after="40" w:before="40"/>
        <w:jc w:val="center"/>
      </w:pPr>
      <w:r>
        <w:rPr>
          <w:rFonts w:ascii="Arial" w:cs="Arial" w:eastAsia="Arial" w:hAnsi="Arial"/>
          <w:i/>
          <w:iCs/>
          <w:color w:val="C9A84C"/>
          <w:sz w:val="18"/>
          <w:szCs w:val="18"/>
        </w:rPr>
        <w:t xml:space="preserve">Building the Watchdog Before the House Burns Down</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026"/>
      </w:tabs>
      <w:spacing w:after="0" w:before="60"/>
    </w:pPr>
    <w:r>
      <w:rPr>
        <w:rFonts w:ascii="Arial" w:cs="Arial" w:eastAsia="Arial" w:hAnsi="Arial"/>
        <w:color w:val="1B2A4A"/>
        <w:sz w:val="16"/>
        <w:szCs w:val="16"/>
      </w:rPr>
      <w:t xml:space="preserve">info@ethichawks.co.za  |  www.ethichawks.co.za</w:t>
    </w:r>
    <w:r>
      <w:rPr>
        <w:rFonts w:ascii="Arial" w:cs="Arial" w:eastAsia="Arial" w:hAnsi="Arial"/>
        <w:color w:val="2C2C2C"/>
        <w:sz w:val="16"/>
        <w:szCs w:val="16"/>
      </w:rPr>
      <w:t xml:space="preserve">	Page </w:t>
    </w:r>
    <w:r>
      <w:rPr>
        <w:rFonts w:ascii="Arial" w:cs="Arial" w:eastAsia="Arial" w:hAnsi="Arial"/>
        <w:color w:val="2C2C2C"/>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pBdr>
      <w:tabs>
        <w:tab w:val="right" w:pos="9026"/>
      </w:tabs>
      <w:spacing w:after="60" w:before="0"/>
    </w:pPr>
    <w:r>
      <w:rPr>
        <w:rFonts w:ascii="Arial" w:cs="Arial" w:eastAsia="Arial" w:hAnsi="Arial"/>
        <w:b/>
        <w:bCs/>
        <w:color w:val="1B2A4A"/>
        <w:sz w:val="18"/>
        <w:szCs w:val="18"/>
      </w:rPr>
      <w:t xml:space="preserve">EthicHawks Forensic Governance &amp; Compliance  |  </w:t>
    </w:r>
    <w:r>
      <w:rPr>
        <w:rFonts w:ascii="Arial" w:cs="Arial" w:eastAsia="Arial" w:hAnsi="Arial"/>
        <w:i/>
        <w:iCs/>
        <w:color w:val="2C2C2C"/>
        <w:sz w:val="18"/>
        <w:szCs w:val="18"/>
      </w:rPr>
      <w:t xml:space="preserve">MANIFESTO OF RETALIATION — Matthee v AfroCentric Health</w:t>
    </w:r>
    <w:r>
      <w:rPr>
        <w:rFonts w:ascii="Arial" w:cs="Arial" w:eastAsia="Arial" w:hAnsi="Arial"/>
        <w:sz w:val="18"/>
        <w:szCs w:val="18"/>
      </w:rPr>
      <w:t xml:space="preserve">	</w:t>
    </w:r>
    <w:r>
      <w:rPr>
        <w:rFonts w:ascii="Arial" w:cs="Arial" w:eastAsia="Arial" w:hAnsi="Arial"/>
        <w:b/>
        <w:bCs/>
        <w:color w:val="8B1A1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B2A4A"/>
      <w:sz w:val="24"/>
      <w:szCs w:val="24"/>
    </w:rPr>
  </w:style>
  <w:style w:type="paragraph" w:styleId="Heading3">
    <w:name w:val="Heading 3"/>
    <w:basedOn w:val="Normal"/>
    <w:next w:val="Normal"/>
    <w:qFormat/>
    <w:pPr>
      <w:spacing w:after="60" w:before="180"/>
      <w:outlineLvl w:val="2"/>
    </w:pPr>
    <w:rPr>
      <w:rFonts w:ascii="Arial" w:cs="Arial" w:eastAsia="Arial" w:hAnsi="Arial"/>
      <w:b/>
      <w:bCs/>
      <w:color w:val="8B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2026-04-17T22:06:28.266Z</dcterms:created>
  <dcterms:modified xsi:type="dcterms:W3CDTF">2026-04-17T22:06:28.268Z</dcterms:modified>
</cp:coreProperties>
</file>

<file path=docProps/custom.xml><?xml version="1.0" encoding="utf-8"?>
<Properties xmlns="http://schemas.openxmlformats.org/officeDocument/2006/custom-properties" xmlns:vt="http://schemas.openxmlformats.org/officeDocument/2006/docPropsVTypes"/>
</file>