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1473" w14:paraId="201B3366" w14:textId="77777777">
        <w:tblPrEx>
          <w:tblCellMar>
            <w:top w:w="0" w:type="dxa"/>
            <w:bottom w:w="0" w:type="dxa"/>
          </w:tblCellMar>
        </w:tblPrEx>
        <w:tc>
          <w:tcPr>
            <w:tcW w:w="9360" w:type="dxa"/>
            <w:tcBorders>
              <w:top w:val="nil"/>
              <w:left w:val="nil"/>
              <w:bottom w:val="nil"/>
              <w:right w:val="nil"/>
            </w:tcBorders>
            <w:shd w:val="clear" w:color="auto" w:fill="1A3557"/>
            <w:tcMar>
              <w:top w:w="200" w:type="dxa"/>
              <w:left w:w="300" w:type="dxa"/>
              <w:bottom w:w="200" w:type="dxa"/>
              <w:right w:w="300" w:type="dxa"/>
            </w:tcMar>
          </w:tcPr>
          <w:p w14:paraId="7EA1A356" w14:textId="77777777" w:rsidR="00A51473" w:rsidRDefault="00000000">
            <w:pPr>
              <w:jc w:val="center"/>
            </w:pPr>
            <w:r>
              <w:rPr>
                <w:b/>
                <w:bCs/>
                <w:color w:val="FFFFFF"/>
                <w:sz w:val="36"/>
                <w:szCs w:val="36"/>
              </w:rPr>
              <w:t>CONSOLIDATED FORENSIC EVIDENCE PORTFOLIO</w:t>
            </w:r>
          </w:p>
          <w:p w14:paraId="1A041B1F" w14:textId="77777777" w:rsidR="00A51473" w:rsidRDefault="00000000">
            <w:pPr>
              <w:jc w:val="center"/>
            </w:pPr>
            <w:r>
              <w:rPr>
                <w:color w:val="A8C8E8"/>
                <w:sz w:val="26"/>
                <w:szCs w:val="26"/>
              </w:rPr>
              <w:t>Parliamentary Oversight Submission</w:t>
            </w:r>
          </w:p>
          <w:p w14:paraId="2A9137EC" w14:textId="77777777" w:rsidR="00A51473" w:rsidRDefault="00000000">
            <w:pPr>
              <w:jc w:val="center"/>
            </w:pPr>
            <w:r>
              <w:rPr>
                <w:i/>
                <w:iCs/>
                <w:color w:val="A8C8E8"/>
                <w:sz w:val="20"/>
                <w:szCs w:val="20"/>
              </w:rPr>
              <w:t>Section 55(2) of the Constitution of the Republic of South Africa, 1996</w:t>
            </w:r>
          </w:p>
        </w:tc>
      </w:tr>
    </w:tbl>
    <w:p w14:paraId="4E8FA1A7" w14:textId="77777777" w:rsidR="00A51473" w:rsidRDefault="00A51473">
      <w:pPr>
        <w:spacing w:before="24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1473" w14:paraId="6DA882B3" w14:textId="77777777">
        <w:tblPrEx>
          <w:tblCellMar>
            <w:top w:w="0" w:type="dxa"/>
            <w:bottom w:w="0" w:type="dxa"/>
          </w:tblCellMar>
        </w:tblPrEx>
        <w:tc>
          <w:tcPr>
            <w:tcW w:w="9360" w:type="dxa"/>
            <w:tcBorders>
              <w:top w:val="nil"/>
              <w:left w:val="nil"/>
              <w:bottom w:val="nil"/>
              <w:right w:val="nil"/>
            </w:tcBorders>
            <w:shd w:val="clear" w:color="auto" w:fill="8B0000"/>
            <w:tcMar>
              <w:top w:w="100" w:type="dxa"/>
              <w:left w:w="200" w:type="dxa"/>
              <w:bottom w:w="100" w:type="dxa"/>
              <w:right w:w="200" w:type="dxa"/>
            </w:tcMar>
          </w:tcPr>
          <w:p w14:paraId="77395616" w14:textId="77777777" w:rsidR="00A51473" w:rsidRDefault="00000000">
            <w:pPr>
              <w:jc w:val="center"/>
            </w:pPr>
            <w:r>
              <w:rPr>
                <w:b/>
                <w:bCs/>
                <w:color w:val="FFFFFF"/>
                <w:sz w:val="20"/>
                <w:szCs w:val="20"/>
              </w:rPr>
              <w:t>STRICTLY CONFIDENTIAL – PROTECTED DISCLOSURE UNDER SECTIONS 5, 7, AND 8 OF THE PROTECTED DISCLOSURES ACT 26 OF 2000</w:t>
            </w:r>
          </w:p>
        </w:tc>
      </w:tr>
    </w:tbl>
    <w:p w14:paraId="74AAFED7" w14:textId="77777777" w:rsidR="00A51473" w:rsidRDefault="00A51473">
      <w:pPr>
        <w:spacing w:before="200" w:after="1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51473" w14:paraId="6088B8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FF7B02" w14:textId="77777777" w:rsidR="00A51473" w:rsidRDefault="00000000">
            <w:r>
              <w:rPr>
                <w:b/>
                <w:bCs/>
                <w:color w:val="1A3557"/>
                <w:sz w:val="20"/>
                <w:szCs w:val="20"/>
              </w:rPr>
              <w:t>Originating Body: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EF424" w14:textId="77777777" w:rsidR="00A51473" w:rsidRDefault="00000000">
            <w:proofErr w:type="spellStart"/>
            <w:r>
              <w:rPr>
                <w:sz w:val="20"/>
                <w:szCs w:val="20"/>
              </w:rPr>
              <w:t>EthicHawks</w:t>
            </w:r>
            <w:proofErr w:type="spellEnd"/>
            <w:r>
              <w:rPr>
                <w:sz w:val="20"/>
                <w:szCs w:val="20"/>
              </w:rPr>
              <w:t xml:space="preserve"> Forensic Governance &amp; Compliance Consultancy</w:t>
            </w:r>
          </w:p>
        </w:tc>
      </w:tr>
      <w:tr w:rsidR="00A51473" w14:paraId="6E653F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20" w:type="dxa"/>
              <w:bottom w:w="80" w:type="dxa"/>
              <w:right w:w="120" w:type="dxa"/>
            </w:tcMar>
          </w:tcPr>
          <w:p w14:paraId="781E0C1C" w14:textId="77777777" w:rsidR="00A51473" w:rsidRDefault="00000000">
            <w:r>
              <w:rPr>
                <w:b/>
                <w:bCs/>
                <w:color w:val="1A3557"/>
                <w:sz w:val="20"/>
                <w:szCs w:val="20"/>
              </w:rPr>
              <w:t>Target Desk:</w:t>
            </w:r>
          </w:p>
        </w:tc>
        <w:tc>
          <w:tcPr>
            <w:tcW w:w="63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33C38229" w14:textId="77777777" w:rsidR="00A51473" w:rsidRDefault="00000000">
            <w:r>
              <w:rPr>
                <w:sz w:val="20"/>
                <w:szCs w:val="20"/>
              </w:rPr>
              <w:t>Office of the Minister of Justice and Constitutional Development</w:t>
            </w:r>
          </w:p>
        </w:tc>
      </w:tr>
      <w:tr w:rsidR="00A51473" w14:paraId="54DB09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D46CA12" w14:textId="77777777" w:rsidR="00A51473" w:rsidRDefault="00000000">
            <w:r>
              <w:rPr>
                <w:b/>
                <w:bCs/>
                <w:color w:val="1A3557"/>
                <w:sz w:val="20"/>
                <w:szCs w:val="20"/>
              </w:rPr>
              <w:t>Attention: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2F26C" w14:textId="77777777" w:rsidR="00A51473" w:rsidRDefault="00000000">
            <w:r>
              <w:rPr>
                <w:sz w:val="20"/>
                <w:szCs w:val="20"/>
              </w:rPr>
              <w:t xml:space="preserve">Honourable Minister </w:t>
            </w:r>
            <w:proofErr w:type="spellStart"/>
            <w:r>
              <w:rPr>
                <w:sz w:val="20"/>
                <w:szCs w:val="20"/>
              </w:rPr>
              <w:t>Mmamoloko</w:t>
            </w:r>
            <w:proofErr w:type="spellEnd"/>
            <w:r>
              <w:rPr>
                <w:sz w:val="20"/>
                <w:szCs w:val="20"/>
              </w:rPr>
              <w:t xml:space="preserve"> </w:t>
            </w:r>
            <w:proofErr w:type="spellStart"/>
            <w:r>
              <w:rPr>
                <w:sz w:val="20"/>
                <w:szCs w:val="20"/>
              </w:rPr>
              <w:t>Kubayi</w:t>
            </w:r>
            <w:proofErr w:type="spellEnd"/>
          </w:p>
        </w:tc>
      </w:tr>
      <w:tr w:rsidR="00A51473" w14:paraId="36EF60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20" w:type="dxa"/>
              <w:bottom w:w="80" w:type="dxa"/>
              <w:right w:w="120" w:type="dxa"/>
            </w:tcMar>
          </w:tcPr>
          <w:p w14:paraId="7218AA21" w14:textId="77777777" w:rsidR="00A51473" w:rsidRDefault="00000000">
            <w:r>
              <w:rPr>
                <w:b/>
                <w:bCs/>
                <w:color w:val="1A3557"/>
                <w:sz w:val="20"/>
                <w:szCs w:val="20"/>
              </w:rPr>
              <w:t>Transmission Channel:</w:t>
            </w:r>
          </w:p>
        </w:tc>
        <w:tc>
          <w:tcPr>
            <w:tcW w:w="63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37439672" w14:textId="77777777" w:rsidR="00A51473" w:rsidRDefault="00000000">
            <w:r>
              <w:rPr>
                <w:sz w:val="20"/>
                <w:szCs w:val="20"/>
              </w:rPr>
              <w:t>Certified Electronic Delivery – LeboTshabalala@justice.gov.za</w:t>
            </w:r>
          </w:p>
        </w:tc>
      </w:tr>
      <w:tr w:rsidR="00A51473" w14:paraId="6B4C24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61FDC2" w14:textId="77777777" w:rsidR="00A51473" w:rsidRDefault="00000000">
            <w:r>
              <w:rPr>
                <w:b/>
                <w:bCs/>
                <w:color w:val="1A3557"/>
                <w:sz w:val="20"/>
                <w:szCs w:val="20"/>
              </w:rPr>
              <w:t>Submission 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0A810" w14:textId="77777777" w:rsidR="00A51473" w:rsidRDefault="00000000">
            <w:r>
              <w:rPr>
                <w:sz w:val="20"/>
                <w:szCs w:val="20"/>
              </w:rPr>
              <w:t>22 June 2026</w:t>
            </w:r>
          </w:p>
        </w:tc>
      </w:tr>
      <w:tr w:rsidR="00A51473" w14:paraId="54BC62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20" w:type="dxa"/>
              <w:bottom w:w="80" w:type="dxa"/>
              <w:right w:w="120" w:type="dxa"/>
            </w:tcMar>
          </w:tcPr>
          <w:p w14:paraId="63160083" w14:textId="77777777" w:rsidR="00A51473" w:rsidRDefault="00000000">
            <w:r>
              <w:rPr>
                <w:b/>
                <w:bCs/>
                <w:color w:val="1A3557"/>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5E1E8AB6" w14:textId="77777777" w:rsidR="00A51473" w:rsidRDefault="00000000">
            <w:r>
              <w:rPr>
                <w:sz w:val="20"/>
                <w:szCs w:val="20"/>
              </w:rPr>
              <w:t>Ministerial Response Unanswered Since 24 April 2026 – Entered as Material Evidence of State Oversight Abdication</w:t>
            </w:r>
          </w:p>
        </w:tc>
      </w:tr>
      <w:tr w:rsidR="00A51473" w14:paraId="77CBF4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120DEF" w14:textId="77777777" w:rsidR="00A51473" w:rsidRDefault="00000000">
            <w:r>
              <w:rPr>
                <w:b/>
                <w:bCs/>
                <w:color w:val="1A3557"/>
                <w:sz w:val="20"/>
                <w:szCs w:val="20"/>
              </w:rPr>
              <w:t>Portfolio Committees: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D7E1E" w14:textId="77777777" w:rsidR="00A51473" w:rsidRDefault="00000000">
            <w:r>
              <w:rPr>
                <w:sz w:val="20"/>
                <w:szCs w:val="20"/>
              </w:rPr>
              <w:t>Justice &amp; Constitutional Development; Health; Employment &amp; Labour; Finance (Standing Committee)</w:t>
            </w:r>
          </w:p>
        </w:tc>
      </w:tr>
      <w:tr w:rsidR="00A51473" w14:paraId="2374A4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20" w:type="dxa"/>
              <w:bottom w:w="80" w:type="dxa"/>
              <w:right w:w="120" w:type="dxa"/>
            </w:tcMar>
          </w:tcPr>
          <w:p w14:paraId="667A52C1" w14:textId="77777777" w:rsidR="00A51473" w:rsidRDefault="00000000">
            <w:r>
              <w:rPr>
                <w:b/>
                <w:bCs/>
                <w:color w:val="1A3557"/>
                <w:sz w:val="20"/>
                <w:szCs w:val="20"/>
              </w:rPr>
              <w:t>Constitutional Basis:</w:t>
            </w:r>
          </w:p>
        </w:tc>
        <w:tc>
          <w:tcPr>
            <w:tcW w:w="63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DC5AC6C" w14:textId="77777777" w:rsidR="00A51473" w:rsidRDefault="00000000">
            <w:r>
              <w:rPr>
                <w:sz w:val="20"/>
                <w:szCs w:val="20"/>
              </w:rPr>
              <w:t>Section 55(2) – Parliamentary Oversight; Section 195 – Public Administration; Section 34 – Right of Access to Courts</w:t>
            </w:r>
          </w:p>
        </w:tc>
      </w:tr>
    </w:tbl>
    <w:p w14:paraId="4CCAE5E7" w14:textId="77777777" w:rsidR="00A51473" w:rsidRDefault="00A51473">
      <w:pPr>
        <w:spacing w:before="240" w:after="160"/>
      </w:pPr>
    </w:p>
    <w:p w14:paraId="1EE2B86B" w14:textId="77777777" w:rsidR="00A51473" w:rsidRDefault="00A51473">
      <w:pPr>
        <w:pBdr>
          <w:bottom w:val="single" w:sz="6" w:space="1" w:color="1A3557"/>
        </w:pBdr>
      </w:pPr>
    </w:p>
    <w:p w14:paraId="7AC9B11E" w14:textId="77777777" w:rsidR="00A51473" w:rsidRDefault="00A51473">
      <w:pPr>
        <w:spacing w:before="200" w:after="120"/>
      </w:pPr>
    </w:p>
    <w:p w14:paraId="269CBA58" w14:textId="77777777" w:rsidR="00A51473" w:rsidRDefault="00000000">
      <w:pPr>
        <w:jc w:val="center"/>
      </w:pPr>
      <w:r>
        <w:rPr>
          <w:color w:val="555555"/>
          <w:sz w:val="20"/>
          <w:szCs w:val="20"/>
        </w:rPr>
        <w:t>Submitted by:</w:t>
      </w:r>
    </w:p>
    <w:p w14:paraId="65A591C4" w14:textId="77777777" w:rsidR="00A51473" w:rsidRDefault="00000000">
      <w:pPr>
        <w:jc w:val="center"/>
      </w:pPr>
      <w:r>
        <w:rPr>
          <w:b/>
          <w:bCs/>
          <w:color w:val="1A3557"/>
          <w:sz w:val="28"/>
          <w:szCs w:val="28"/>
        </w:rPr>
        <w:t>Wilbur William Matthee</w:t>
      </w:r>
    </w:p>
    <w:p w14:paraId="1BD5F734" w14:textId="77777777" w:rsidR="00A51473" w:rsidRDefault="00000000">
      <w:pPr>
        <w:jc w:val="center"/>
      </w:pPr>
      <w:r>
        <w:rPr>
          <w:color w:val="555555"/>
          <w:sz w:val="20"/>
          <w:szCs w:val="20"/>
        </w:rPr>
        <w:t xml:space="preserve">RN  |  </w:t>
      </w:r>
      <w:proofErr w:type="spellStart"/>
      <w:r>
        <w:rPr>
          <w:color w:val="555555"/>
          <w:sz w:val="20"/>
          <w:szCs w:val="20"/>
        </w:rPr>
        <w:t>BTech</w:t>
      </w:r>
      <w:proofErr w:type="spellEnd"/>
      <w:r>
        <w:rPr>
          <w:color w:val="555555"/>
          <w:sz w:val="20"/>
          <w:szCs w:val="20"/>
        </w:rPr>
        <w:t xml:space="preserve"> General Nursing  |  PGDip Health Services Management (NQF 8)</w:t>
      </w:r>
    </w:p>
    <w:p w14:paraId="7A79480D" w14:textId="77777777" w:rsidR="00A51473" w:rsidRDefault="00000000">
      <w:pPr>
        <w:jc w:val="center"/>
      </w:pPr>
      <w:r>
        <w:rPr>
          <w:color w:val="2E5F8A"/>
          <w:sz w:val="20"/>
          <w:szCs w:val="20"/>
        </w:rPr>
        <w:t xml:space="preserve">Founder – </w:t>
      </w:r>
      <w:proofErr w:type="spellStart"/>
      <w:r>
        <w:rPr>
          <w:color w:val="2E5F8A"/>
          <w:sz w:val="20"/>
          <w:szCs w:val="20"/>
        </w:rPr>
        <w:t>EthicHawks</w:t>
      </w:r>
      <w:proofErr w:type="spellEnd"/>
      <w:r>
        <w:rPr>
          <w:color w:val="2E5F8A"/>
          <w:sz w:val="20"/>
          <w:szCs w:val="20"/>
        </w:rPr>
        <w:t xml:space="preserve"> Forensic Governance &amp; Compliance Consultancy</w:t>
      </w:r>
    </w:p>
    <w:p w14:paraId="19CE037A" w14:textId="77777777" w:rsidR="00A51473" w:rsidRDefault="00000000">
      <w:pPr>
        <w:jc w:val="center"/>
      </w:pPr>
      <w:r>
        <w:rPr>
          <w:i/>
          <w:iCs/>
          <w:color w:val="666666"/>
          <w:sz w:val="18"/>
          <w:szCs w:val="18"/>
        </w:rPr>
        <w:t>CI (SA) Compliance Practitioner (Associate) – CISA Pledge to the Code of Ethical and Professional Conduct</w:t>
      </w:r>
    </w:p>
    <w:p w14:paraId="0F681040" w14:textId="77777777" w:rsidR="00A51473" w:rsidRDefault="00A51473">
      <w:pPr>
        <w:spacing w:before="160"/>
      </w:pPr>
    </w:p>
    <w:p w14:paraId="2644322E" w14:textId="77777777" w:rsidR="00A51473" w:rsidRDefault="00000000">
      <w:r>
        <w:br w:type="page"/>
      </w:r>
    </w:p>
    <w:p w14:paraId="2145DAC4" w14:textId="77777777" w:rsidR="00A51473" w:rsidRDefault="00000000">
      <w:pPr>
        <w:pStyle w:val="Heading1"/>
      </w:pPr>
      <w:r>
        <w:lastRenderedPageBreak/>
        <w:t>EXHIBIT A</w:t>
      </w:r>
    </w:p>
    <w:p w14:paraId="0FE652B2" w14:textId="77777777" w:rsidR="00A51473" w:rsidRDefault="00000000">
      <w:pPr>
        <w:pStyle w:val="Heading2"/>
      </w:pPr>
      <w:r>
        <w:t>PRIMARY COVER MASTERPAGE &amp; MINISTERIAL IMPLICATION MEMORANDUM</w:t>
      </w:r>
    </w:p>
    <w:p w14:paraId="11FF20B4" w14:textId="77777777" w:rsidR="00A51473" w:rsidRDefault="00A51473">
      <w:pPr>
        <w:pBdr>
          <w:bottom w:val="single" w:sz="4" w:space="1" w:color="2E5F8A"/>
        </w:pBdr>
      </w:pPr>
    </w:p>
    <w:p w14:paraId="0396490D" w14:textId="77777777" w:rsidR="00A51473" w:rsidRDefault="00A51473">
      <w:pPr>
        <w:spacing w:before="120" w:after="80"/>
      </w:pPr>
    </w:p>
    <w:p w14:paraId="377D18EB" w14:textId="77777777" w:rsidR="00A51473" w:rsidRDefault="00000000">
      <w:pPr>
        <w:spacing w:before="200" w:after="80"/>
      </w:pPr>
      <w:r>
        <w:rPr>
          <w:b/>
          <w:bCs/>
          <w:color w:val="8B0000"/>
          <w:u w:val="single"/>
        </w:rPr>
        <w:t>1. FORMAL DESIGNATION OF EXHIBIT A</w:t>
      </w:r>
    </w:p>
    <w:p w14:paraId="5531B4C1" w14:textId="77777777" w:rsidR="00A51473" w:rsidRDefault="00000000">
      <w:pPr>
        <w:spacing w:before="80" w:after="80"/>
        <w:jc w:val="both"/>
      </w:pPr>
      <w:r>
        <w:t xml:space="preserve">This </w:t>
      </w:r>
      <w:proofErr w:type="spellStart"/>
      <w:r>
        <w:t>masterpage</w:t>
      </w:r>
      <w:proofErr w:type="spellEnd"/>
      <w:r>
        <w:t xml:space="preserve"> constitutes Exhibit A of the Consolidated Forensic Evidence Portfolio. It serves as an unassailable record of institutional complicity, detailing how the Ministry of Justice and Constitutional Development actively ignored a catastrophic public health risk and statutory fraud file while concurrently staging public relations campaigns surrounding the release of the new Protected Disclosures Act (PDA) Bill of April 2026.</w:t>
      </w:r>
    </w:p>
    <w:p w14:paraId="6EF03198" w14:textId="77777777" w:rsidR="00A51473" w:rsidRDefault="00A51473">
      <w:pPr>
        <w:spacing w:before="80" w:after="60"/>
      </w:pPr>
    </w:p>
    <w:p w14:paraId="0FAB7A20" w14:textId="77777777" w:rsidR="00A51473" w:rsidRDefault="00000000">
      <w:pPr>
        <w:spacing w:before="80" w:after="80"/>
        <w:jc w:val="both"/>
      </w:pPr>
      <w:r>
        <w:t>By placing this memorandum at the absolute forefront of the consolidated bundle, the Ministry's sixty-day administrative silence is stripped of its bureaucratic shield and repositioned as the primary, empirical proof of systemic regulatory capture.</w:t>
      </w:r>
    </w:p>
    <w:p w14:paraId="4078D24D" w14:textId="77777777" w:rsidR="00A51473" w:rsidRDefault="00A51473">
      <w:pPr>
        <w:spacing w:before="120" w:after="80"/>
      </w:pPr>
    </w:p>
    <w:p w14:paraId="7628A20C" w14:textId="77777777" w:rsidR="00A51473" w:rsidRDefault="00000000">
      <w:pPr>
        <w:spacing w:before="200" w:after="80"/>
      </w:pPr>
      <w:r>
        <w:rPr>
          <w:b/>
          <w:bCs/>
          <w:color w:val="8B0000"/>
          <w:u w:val="single"/>
        </w:rPr>
        <w:t>2. THE CHRONOLOGY OF CONTRADICTION &amp; MINISTERIAL IMPLICATION</w:t>
      </w:r>
    </w:p>
    <w:p w14:paraId="0FDD8A8B" w14:textId="77777777" w:rsidR="00A51473" w:rsidRDefault="00000000">
      <w:pPr>
        <w:spacing w:before="80" w:after="80"/>
        <w:jc w:val="both"/>
      </w:pPr>
      <w:r>
        <w:t xml:space="preserve">The timeline of events documented below demonstrates that the Minister's office had full operational knowledge of the systemic vulnerabilities within both the healthcare sector and the </w:t>
      </w:r>
      <w:proofErr w:type="spellStart"/>
      <w:r>
        <w:t>whistleblower</w:t>
      </w:r>
      <w:proofErr w:type="spellEnd"/>
      <w:r>
        <w:t xml:space="preserve"> protection architecture, yet chose institutional evasion over constitutional duty:</w:t>
      </w:r>
    </w:p>
    <w:p w14:paraId="4118A46D" w14:textId="77777777" w:rsidR="00A51473" w:rsidRDefault="00A51473">
      <w:pPr>
        <w:spacing w:before="8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560"/>
      </w:tblGrid>
      <w:tr w:rsidR="00A51473" w14:paraId="5AFC00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968D0B2" w14:textId="77777777" w:rsidR="00A51473" w:rsidRDefault="00000000">
            <w:r>
              <w:rPr>
                <w:b/>
                <w:bCs/>
                <w:color w:val="FFFFFF"/>
                <w:sz w:val="18"/>
                <w:szCs w:val="18"/>
              </w:rPr>
              <w:t>DATE</w:t>
            </w:r>
          </w:p>
        </w:tc>
        <w:tc>
          <w:tcPr>
            <w:tcW w:w="3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51B3A77" w14:textId="77777777" w:rsidR="00A51473" w:rsidRDefault="00000000">
            <w:r>
              <w:rPr>
                <w:b/>
                <w:bCs/>
                <w:color w:val="FFFFFF"/>
                <w:sz w:val="18"/>
                <w:szCs w:val="18"/>
              </w:rPr>
              <w:t>EVENT</w:t>
            </w:r>
          </w:p>
        </w:tc>
        <w:tc>
          <w:tcPr>
            <w:tcW w:w="35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09EE676" w14:textId="77777777" w:rsidR="00A51473" w:rsidRDefault="00000000">
            <w:r>
              <w:rPr>
                <w:b/>
                <w:bCs/>
                <w:color w:val="FFFFFF"/>
                <w:sz w:val="18"/>
                <w:szCs w:val="18"/>
              </w:rPr>
              <w:t>FORENSIC IMPLICATION</w:t>
            </w:r>
          </w:p>
        </w:tc>
      </w:tr>
      <w:tr w:rsidR="00A51473" w14:paraId="61AE54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10B2D573" w14:textId="77777777" w:rsidR="00A51473" w:rsidRDefault="00000000">
            <w:r>
              <w:rPr>
                <w:b/>
                <w:bCs/>
                <w:color w:val="FFFFFF"/>
                <w:sz w:val="18"/>
                <w:szCs w:val="18"/>
              </w:rPr>
              <w:t>08–09 April 2026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36622" w14:textId="77777777" w:rsidR="00A51473" w:rsidRDefault="00000000">
            <w:r>
              <w:rPr>
                <w:sz w:val="18"/>
                <w:szCs w:val="18"/>
              </w:rPr>
              <w:t xml:space="preserve">Ministry publicly releases new PDA Bill of 2026, claiming to strengthen </w:t>
            </w:r>
            <w:proofErr w:type="spellStart"/>
            <w:r>
              <w:rPr>
                <w:sz w:val="18"/>
                <w:szCs w:val="18"/>
              </w:rPr>
              <w:t>whistleblower</w:t>
            </w:r>
            <w:proofErr w:type="spellEnd"/>
            <w:r>
              <w:rPr>
                <w:sz w:val="18"/>
                <w:szCs w:val="18"/>
              </w:rPr>
              <w:t xml:space="preserve"> protections and close systemic gaps.</w:t>
            </w:r>
          </w:p>
        </w:tc>
        <w:tc>
          <w:tcPr>
            <w:tcW w:w="3560" w:type="dxa"/>
            <w:tcBorders>
              <w:top w:val="single" w:sz="1" w:space="0" w:color="CCCCCC"/>
              <w:left w:val="single" w:sz="1" w:space="0" w:color="CCCCCC"/>
              <w:bottom w:val="single" w:sz="1" w:space="0" w:color="CCCCCC"/>
              <w:right w:val="single" w:sz="1" w:space="0" w:color="CCCCCC"/>
            </w:tcBorders>
            <w:shd w:val="clear" w:color="auto" w:fill="FFF8F8"/>
            <w:tcMar>
              <w:top w:w="80" w:type="dxa"/>
              <w:left w:w="120" w:type="dxa"/>
              <w:bottom w:w="80" w:type="dxa"/>
              <w:right w:w="120" w:type="dxa"/>
            </w:tcMar>
          </w:tcPr>
          <w:p w14:paraId="7861F985" w14:textId="77777777" w:rsidR="00A51473" w:rsidRDefault="00000000">
            <w:r>
              <w:rPr>
                <w:i/>
                <w:iCs/>
                <w:color w:val="8B0000"/>
                <w:sz w:val="18"/>
                <w:szCs w:val="18"/>
              </w:rPr>
              <w:t xml:space="preserve">Legislative </w:t>
            </w:r>
            <w:proofErr w:type="spellStart"/>
            <w:r>
              <w:rPr>
                <w:i/>
                <w:iCs/>
                <w:color w:val="8B0000"/>
                <w:sz w:val="18"/>
                <w:szCs w:val="18"/>
              </w:rPr>
              <w:t>theater</w:t>
            </w:r>
            <w:proofErr w:type="spellEnd"/>
            <w:r>
              <w:rPr>
                <w:i/>
                <w:iCs/>
                <w:color w:val="8B0000"/>
                <w:sz w:val="18"/>
                <w:szCs w:val="18"/>
              </w:rPr>
              <w:t xml:space="preserve"> deployed while operational retaliation against protected disclosure remained unaddressed.</w:t>
            </w:r>
          </w:p>
        </w:tc>
      </w:tr>
      <w:tr w:rsidR="00A51473" w14:paraId="32472B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77FF1026" w14:textId="77777777" w:rsidR="00A51473" w:rsidRDefault="00000000">
            <w:r>
              <w:rPr>
                <w:b/>
                <w:bCs/>
                <w:color w:val="FFFFFF"/>
                <w:sz w:val="18"/>
                <w:szCs w:val="18"/>
              </w:rPr>
              <w:t>24 April 2026 (13:00)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B8263" w14:textId="77777777" w:rsidR="00A51473" w:rsidRDefault="00000000">
            <w:r>
              <w:rPr>
                <w:sz w:val="18"/>
                <w:szCs w:val="18"/>
              </w:rPr>
              <w:t xml:space="preserve">Formal file "Total Destitution, Professional Erasure(2).PDF" delivered directly to Minister's office via Mr. Lebo </w:t>
            </w:r>
            <w:proofErr w:type="spellStart"/>
            <w:r>
              <w:rPr>
                <w:sz w:val="18"/>
                <w:szCs w:val="18"/>
              </w:rPr>
              <w:t>Tshabalala</w:t>
            </w:r>
            <w:proofErr w:type="spell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8F8"/>
            <w:tcMar>
              <w:top w:w="80" w:type="dxa"/>
              <w:left w:w="120" w:type="dxa"/>
              <w:bottom w:w="80" w:type="dxa"/>
              <w:right w:w="120" w:type="dxa"/>
            </w:tcMar>
          </w:tcPr>
          <w:p w14:paraId="2D65B7C1" w14:textId="77777777" w:rsidR="00A51473" w:rsidRDefault="00000000">
            <w:r>
              <w:rPr>
                <w:i/>
                <w:iCs/>
                <w:color w:val="8B0000"/>
                <w:sz w:val="18"/>
                <w:szCs w:val="18"/>
              </w:rPr>
              <w:t>Primary protected disclosure formally served; receipt preserved in the evidentiary record.</w:t>
            </w:r>
          </w:p>
        </w:tc>
      </w:tr>
      <w:tr w:rsidR="00A51473" w14:paraId="09961B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6F6BE6A7" w14:textId="77777777" w:rsidR="00A51473" w:rsidRDefault="00000000">
            <w:r>
              <w:rPr>
                <w:b/>
                <w:bCs/>
                <w:color w:val="FFFFFF"/>
                <w:sz w:val="18"/>
                <w:szCs w:val="18"/>
              </w:rPr>
              <w:t>24 April 2026 (Court)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C752E" w14:textId="77777777" w:rsidR="00A51473" w:rsidRDefault="00000000">
            <w:r>
              <w:rPr>
                <w:sz w:val="18"/>
                <w:szCs w:val="18"/>
              </w:rPr>
              <w:t xml:space="preserve">Western Cape High Court weaponized a printing technicality to reject the </w:t>
            </w:r>
            <w:proofErr w:type="spellStart"/>
            <w:r>
              <w:rPr>
                <w:sz w:val="18"/>
                <w:szCs w:val="18"/>
              </w:rPr>
              <w:t>whistleblower's</w:t>
            </w:r>
            <w:proofErr w:type="spellEnd"/>
            <w:r>
              <w:rPr>
                <w:sz w:val="18"/>
                <w:szCs w:val="18"/>
              </w:rPr>
              <w:t xml:space="preserve"> notice. Presiding judge refused to review opposing documents on the court's own electronic system.</w:t>
            </w:r>
          </w:p>
        </w:tc>
        <w:tc>
          <w:tcPr>
            <w:tcW w:w="3560" w:type="dxa"/>
            <w:tcBorders>
              <w:top w:val="single" w:sz="1" w:space="0" w:color="CCCCCC"/>
              <w:left w:val="single" w:sz="1" w:space="0" w:color="CCCCCC"/>
              <w:bottom w:val="single" w:sz="1" w:space="0" w:color="CCCCCC"/>
              <w:right w:val="single" w:sz="1" w:space="0" w:color="CCCCCC"/>
            </w:tcBorders>
            <w:shd w:val="clear" w:color="auto" w:fill="FFF8F8"/>
            <w:tcMar>
              <w:top w:w="80" w:type="dxa"/>
              <w:left w:w="120" w:type="dxa"/>
              <w:bottom w:w="80" w:type="dxa"/>
              <w:right w:w="120" w:type="dxa"/>
            </w:tcMar>
          </w:tcPr>
          <w:p w14:paraId="56A81763" w14:textId="77777777" w:rsidR="00A51473" w:rsidRDefault="00000000">
            <w:r>
              <w:rPr>
                <w:i/>
                <w:iCs/>
                <w:color w:val="8B0000"/>
                <w:sz w:val="18"/>
                <w:szCs w:val="18"/>
              </w:rPr>
              <w:t>Institutional machinery activated to suppress judicial access for a destitute, self-represented litigant.</w:t>
            </w:r>
          </w:p>
        </w:tc>
      </w:tr>
      <w:tr w:rsidR="00A51473" w14:paraId="0E8440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5E9ED62F" w14:textId="77777777" w:rsidR="00A51473" w:rsidRDefault="00000000">
            <w:r>
              <w:rPr>
                <w:b/>
                <w:bCs/>
                <w:color w:val="FFFFFF"/>
                <w:sz w:val="18"/>
                <w:szCs w:val="18"/>
              </w:rPr>
              <w:t>April 2026 – Present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BB4AD" w14:textId="77777777" w:rsidR="00A51473" w:rsidRDefault="00000000">
            <w:r>
              <w:rPr>
                <w:sz w:val="18"/>
                <w:szCs w:val="18"/>
              </w:rPr>
              <w:t>Ministry of Justice maintains absolute administrative silence. No investigation, no protective relief, no accountability demanded.</w:t>
            </w:r>
          </w:p>
        </w:tc>
        <w:tc>
          <w:tcPr>
            <w:tcW w:w="3560" w:type="dxa"/>
            <w:tcBorders>
              <w:top w:val="single" w:sz="1" w:space="0" w:color="CCCCCC"/>
              <w:left w:val="single" w:sz="1" w:space="0" w:color="CCCCCC"/>
              <w:bottom w:val="single" w:sz="1" w:space="0" w:color="CCCCCC"/>
              <w:right w:val="single" w:sz="1" w:space="0" w:color="CCCCCC"/>
            </w:tcBorders>
            <w:shd w:val="clear" w:color="auto" w:fill="FFF8F8"/>
            <w:tcMar>
              <w:top w:w="80" w:type="dxa"/>
              <w:left w:w="120" w:type="dxa"/>
              <w:bottom w:w="80" w:type="dxa"/>
              <w:right w:w="120" w:type="dxa"/>
            </w:tcMar>
          </w:tcPr>
          <w:p w14:paraId="209EFE08" w14:textId="77777777" w:rsidR="00A51473" w:rsidRDefault="00000000">
            <w:r>
              <w:rPr>
                <w:i/>
                <w:iCs/>
                <w:color w:val="8B0000"/>
                <w:sz w:val="18"/>
                <w:szCs w:val="18"/>
              </w:rPr>
              <w:t>Ministerial silence constitutes active implication in corporate containment and state oversight abdication.</w:t>
            </w:r>
          </w:p>
        </w:tc>
      </w:tr>
    </w:tbl>
    <w:p w14:paraId="02B27A3B" w14:textId="77777777" w:rsidR="00A51473" w:rsidRDefault="00A51473">
      <w:pPr>
        <w:spacing w:before="140" w:after="80"/>
      </w:pPr>
    </w:p>
    <w:p w14:paraId="1407D831" w14:textId="77777777" w:rsidR="00A51473" w:rsidRDefault="00000000">
      <w:pPr>
        <w:spacing w:before="200" w:after="80"/>
      </w:pPr>
      <w:r>
        <w:rPr>
          <w:b/>
          <w:bCs/>
          <w:color w:val="8B0000"/>
          <w:u w:val="single"/>
        </w:rPr>
        <w:t>3. FORENSIC SUBSTANCE OF THE FILING LAID BARE IN EXHIBIT A</w:t>
      </w:r>
    </w:p>
    <w:p w14:paraId="0BFD9078" w14:textId="77777777" w:rsidR="00A51473" w:rsidRDefault="00000000">
      <w:pPr>
        <w:spacing w:before="80" w:after="80"/>
        <w:jc w:val="both"/>
      </w:pPr>
      <w:r>
        <w:t>The document attached to this cover page proves that the Minister's office was explicitly notified of a macro-security crisis and chose to look away. The disclosure explicitly detailed the following:</w:t>
      </w:r>
    </w:p>
    <w:p w14:paraId="199C0CB6" w14:textId="77777777" w:rsidR="00A51473" w:rsidRDefault="00A51473">
      <w:pPr>
        <w:spacing w:before="60" w:after="40"/>
      </w:pPr>
    </w:p>
    <w:p w14:paraId="12A04FAD" w14:textId="77777777" w:rsidR="00A51473" w:rsidRDefault="00000000">
      <w:pPr>
        <w:pStyle w:val="ListParagraph"/>
        <w:numPr>
          <w:ilvl w:val="0"/>
          <w:numId w:val="2"/>
        </w:numPr>
        <w:spacing w:before="60" w:after="60"/>
      </w:pPr>
      <w:r>
        <w:t xml:space="preserve">The </w:t>
      </w:r>
      <w:proofErr w:type="spellStart"/>
      <w:r>
        <w:t>Gexus</w:t>
      </w:r>
      <w:proofErr w:type="spellEnd"/>
      <w:r>
        <w:t>-DMS Integration Failure: A technical and administrative corruption gap that systematically distorts clinical data and processes false non-adherence profiles across 1.9 million Government Employees Medical Scheme (GEMS) beneficiaries.</w:t>
      </w:r>
    </w:p>
    <w:p w14:paraId="2B1D641C" w14:textId="77777777" w:rsidR="00A51473" w:rsidRDefault="00000000">
      <w:pPr>
        <w:pStyle w:val="ListParagraph"/>
        <w:numPr>
          <w:ilvl w:val="0"/>
          <w:numId w:val="2"/>
        </w:numPr>
        <w:spacing w:before="60" w:after="60"/>
      </w:pPr>
      <w:r>
        <w:t>Deliberate Corporate Retaliation: The execution of an unlawful 40.47% salary deduction on 23 July 2025 during a documented medical admission for occupationally caused PTSD and severe depression.</w:t>
      </w:r>
    </w:p>
    <w:p w14:paraId="21964BDB" w14:textId="77777777" w:rsidR="00A51473" w:rsidRDefault="00000000">
      <w:pPr>
        <w:pStyle w:val="ListParagraph"/>
        <w:numPr>
          <w:ilvl w:val="0"/>
          <w:numId w:val="2"/>
        </w:numPr>
        <w:spacing w:before="60" w:after="60"/>
      </w:pPr>
      <w:r>
        <w:lastRenderedPageBreak/>
        <w:t xml:space="preserve">Identity and Sexuality Harassment: Formal corporate communication channels weaponized by management to target personal identity, followed by the loading of fraudulent punitive unpaid leave onto the </w:t>
      </w:r>
      <w:proofErr w:type="spellStart"/>
      <w:r>
        <w:t>whistleblower's</w:t>
      </w:r>
      <w:proofErr w:type="spellEnd"/>
      <w:r>
        <w:t xml:space="preserve"> salary slips.</w:t>
      </w:r>
    </w:p>
    <w:p w14:paraId="1DE8E78E" w14:textId="77777777" w:rsidR="00A51473" w:rsidRDefault="00000000">
      <w:pPr>
        <w:pStyle w:val="ListParagraph"/>
        <w:numPr>
          <w:ilvl w:val="0"/>
          <w:numId w:val="2"/>
        </w:numPr>
        <w:spacing w:before="60" w:after="60"/>
      </w:pPr>
      <w:r>
        <w:t>Statutory Fraud and UIF Blockade: The downgrading of professional credentials on the Certificate of Service and the submission of a fraudulent "voluntary resignation" UI-19 form to the Department of Employment and Labour to deliberately freeze statutory safety nets and induce physical destitution.</w:t>
      </w:r>
    </w:p>
    <w:p w14:paraId="0B07E1A5" w14:textId="77777777" w:rsidR="00A51473" w:rsidRDefault="00A51473">
      <w:pPr>
        <w:spacing w:before="140" w:after="80"/>
      </w:pPr>
    </w:p>
    <w:p w14:paraId="48682D1D" w14:textId="77777777" w:rsidR="00A51473" w:rsidRDefault="00000000">
      <w:pPr>
        <w:spacing w:before="200" w:after="80"/>
      </w:pPr>
      <w:r>
        <w:rPr>
          <w:b/>
          <w:bCs/>
          <w:color w:val="8B0000"/>
          <w:u w:val="single"/>
        </w:rPr>
        <w:t>4. THE FATAL CONFLICT: LEGISLATIVE THEATER VS. OPERATIONAL REALITY</w:t>
      </w:r>
    </w:p>
    <w:p w14:paraId="5F9797E3" w14:textId="77777777" w:rsidR="00A51473" w:rsidRDefault="00000000">
      <w:pPr>
        <w:spacing w:before="80" w:after="80"/>
        <w:jc w:val="both"/>
      </w:pPr>
      <w:r>
        <w:t xml:space="preserve">Exhibit A exposes the core failure of Minister </w:t>
      </w:r>
      <w:proofErr w:type="spellStart"/>
      <w:r>
        <w:t>Kubayi's</w:t>
      </w:r>
      <w:proofErr w:type="spellEnd"/>
      <w:r>
        <w:t xml:space="preserve"> 2026 PDA Bill. A piece of legislation cannot claim to protect </w:t>
      </w:r>
      <w:proofErr w:type="spellStart"/>
      <w:r>
        <w:t>whistleblowers</w:t>
      </w:r>
      <w:proofErr w:type="spellEnd"/>
      <w:r>
        <w:t xml:space="preserve"> when the very Ministry authorizing it permits the following systemic loopholes to operate unchecked:</w:t>
      </w:r>
    </w:p>
    <w:p w14:paraId="55AABDF3" w14:textId="77777777" w:rsidR="00A51473" w:rsidRDefault="00A51473">
      <w:pPr>
        <w:spacing w:before="80" w:after="60"/>
      </w:pPr>
    </w:p>
    <w:p w14:paraId="1245EEFE" w14:textId="77777777" w:rsidR="00A51473" w:rsidRDefault="00000000">
      <w:pPr>
        <w:pBdr>
          <w:left w:val="single" w:sz="12" w:space="10" w:color="8B0000"/>
        </w:pBdr>
        <w:spacing w:before="120" w:after="120"/>
        <w:ind w:left="720" w:right="720"/>
      </w:pPr>
      <w:r>
        <w:rPr>
          <w:i/>
          <w:iCs/>
          <w:color w:val="4A4A4A"/>
        </w:rPr>
        <w:t xml:space="preserve">The Induced Destitution Loophole: Corporations are currently permitted to utilize privacy statutes (POPIA) to secure ex parte interim interdicts that freeze disclosures to regulatory bodies including the JSE, CIPC, and IRBA. By extending these gag orders indefinitely (as seen in the extension to March 2027), the state allows commercial entities to legally crush a </w:t>
      </w:r>
      <w:proofErr w:type="spellStart"/>
      <w:r>
        <w:rPr>
          <w:i/>
          <w:iCs/>
          <w:color w:val="4A4A4A"/>
        </w:rPr>
        <w:t>whistleblower</w:t>
      </w:r>
      <w:proofErr w:type="spellEnd"/>
      <w:r>
        <w:rPr>
          <w:i/>
          <w:iCs/>
          <w:color w:val="4A4A4A"/>
        </w:rPr>
        <w:t xml:space="preserve"> via financial starvation, eviction, and professional erasure long before a court ever evaluates the merits of the protected disclosure.</w:t>
      </w:r>
    </w:p>
    <w:p w14:paraId="1FEE4657" w14:textId="77777777" w:rsidR="00A51473" w:rsidRDefault="00A51473">
      <w:pPr>
        <w:spacing w:before="140" w:after="80"/>
      </w:pPr>
    </w:p>
    <w:p w14:paraId="130D36B3" w14:textId="77777777" w:rsidR="00A51473" w:rsidRDefault="00000000">
      <w:pPr>
        <w:spacing w:before="200" w:after="80"/>
      </w:pPr>
      <w:r>
        <w:rPr>
          <w:b/>
          <w:bCs/>
          <w:color w:val="8B0000"/>
          <w:u w:val="single"/>
        </w:rPr>
        <w:t>5. REJECTION OF PRIVATE CONTAINMENT</w:t>
      </w:r>
    </w:p>
    <w:p w14:paraId="7CF82240" w14:textId="0F0E0511" w:rsidR="00A51473" w:rsidRDefault="00000000">
      <w:pPr>
        <w:spacing w:before="80" w:after="80"/>
        <w:jc w:val="both"/>
      </w:pPr>
      <w:r>
        <w:t xml:space="preserve">The corporate </w:t>
      </w:r>
      <w:proofErr w:type="spellStart"/>
      <w:r>
        <w:t>defense</w:t>
      </w:r>
      <w:proofErr w:type="spellEnd"/>
      <w:r>
        <w:t xml:space="preserve"> strategy relied entirely on utilizing prolonged legal attrition and induced homelessness to force a cheap, private non-disclosure agreement.</w:t>
      </w:r>
    </w:p>
    <w:p w14:paraId="5646FE6A" w14:textId="77777777" w:rsidR="00A51473" w:rsidRDefault="00A51473">
      <w:pPr>
        <w:spacing w:before="80" w:after="60"/>
      </w:pPr>
    </w:p>
    <w:p w14:paraId="7C9B0A70" w14:textId="77777777" w:rsidR="00A51473" w:rsidRDefault="00000000">
      <w:pPr>
        <w:spacing w:before="80" w:after="80"/>
        <w:jc w:val="both"/>
      </w:pPr>
      <w:r>
        <w:t xml:space="preserve">By entering this document as Exhibit A, the </w:t>
      </w:r>
      <w:proofErr w:type="spellStart"/>
      <w:r>
        <w:t>whistleblower</w:t>
      </w:r>
      <w:proofErr w:type="spellEnd"/>
      <w:r>
        <w:t xml:space="preserve"> formally closes the door to private commercial containment. The corporate </w:t>
      </w:r>
      <w:proofErr w:type="spellStart"/>
      <w:r>
        <w:t>defense</w:t>
      </w:r>
      <w:proofErr w:type="spellEnd"/>
      <w:r>
        <w:t xml:space="preserve"> ego and the silent executive ministries are stripped of an exit ramp. The questions enclosed in this consolidated bundle are now property of public policy, parliamentary oversight under Section 55(2) of the Constitution, and national security.</w:t>
      </w:r>
    </w:p>
    <w:p w14:paraId="62EC5409" w14:textId="77777777" w:rsidR="00A51473" w:rsidRDefault="00A51473">
      <w:pPr>
        <w:spacing w:before="160"/>
      </w:pPr>
    </w:p>
    <w:p w14:paraId="1F60C5F2" w14:textId="77777777" w:rsidR="00A51473" w:rsidRDefault="00000000">
      <w:r>
        <w:br w:type="page"/>
      </w:r>
    </w:p>
    <w:p w14:paraId="5E96A53C" w14:textId="77777777" w:rsidR="00A51473" w:rsidRDefault="00000000">
      <w:pPr>
        <w:pStyle w:val="Heading1"/>
      </w:pPr>
      <w:r>
        <w:lastRenderedPageBreak/>
        <w:t>EXHIBIT 2</w:t>
      </w:r>
    </w:p>
    <w:p w14:paraId="544DE435" w14:textId="77777777" w:rsidR="00A51473" w:rsidRDefault="00000000">
      <w:pPr>
        <w:pStyle w:val="Heading2"/>
      </w:pPr>
      <w:r>
        <w:t>THE ANATOMY OF CORPORATE ATTRITION &amp; BAD-FAITH LITIGATION TACTICS</w:t>
      </w:r>
    </w:p>
    <w:p w14:paraId="4B38B74B" w14:textId="77777777" w:rsidR="00A51473" w:rsidRDefault="00A51473">
      <w:pPr>
        <w:pBdr>
          <w:bottom w:val="single" w:sz="4" w:space="1" w:color="2E5F8A"/>
        </w:pBdr>
      </w:pPr>
    </w:p>
    <w:p w14:paraId="59DCA39E" w14:textId="77777777" w:rsidR="00A51473" w:rsidRDefault="00A51473">
      <w:pPr>
        <w:spacing w:before="12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51473" w14:paraId="5D8095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7DC968" w14:textId="77777777" w:rsidR="00A51473" w:rsidRDefault="00000000">
            <w:r>
              <w:rPr>
                <w:b/>
                <w:bCs/>
                <w:color w:val="1A3557"/>
                <w:sz w:val="20"/>
                <w:szCs w:val="20"/>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4488F" w14:textId="77777777" w:rsidR="00A51473" w:rsidRDefault="00000000">
            <w:r>
              <w:rPr>
                <w:sz w:val="20"/>
                <w:szCs w:val="20"/>
              </w:rPr>
              <w:t>Evidence of Abuse of Court Process and Strategic Repression</w:t>
            </w:r>
          </w:p>
        </w:tc>
      </w:tr>
      <w:tr w:rsidR="00A51473" w14:paraId="6DD083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20" w:type="dxa"/>
              <w:bottom w:w="80" w:type="dxa"/>
              <w:right w:w="120" w:type="dxa"/>
            </w:tcMar>
          </w:tcPr>
          <w:p w14:paraId="28F3548B" w14:textId="77777777" w:rsidR="00A51473" w:rsidRDefault="00000000">
            <w:r>
              <w:rPr>
                <w:b/>
                <w:bCs/>
                <w:color w:val="1A3557"/>
                <w:sz w:val="20"/>
                <w:szCs w:val="20"/>
              </w:rPr>
              <w:t>Implicated Parties:</w:t>
            </w:r>
          </w:p>
        </w:tc>
        <w:tc>
          <w:tcPr>
            <w:tcW w:w="63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19FF2F91" w14:textId="77777777" w:rsidR="00A51473" w:rsidRDefault="00000000">
            <w:r>
              <w:rPr>
                <w:sz w:val="20"/>
                <w:szCs w:val="20"/>
              </w:rPr>
              <w:t>Executive Management and Commercial Legal Representatives (</w:t>
            </w:r>
            <w:proofErr w:type="spellStart"/>
            <w:r>
              <w:rPr>
                <w:sz w:val="20"/>
                <w:szCs w:val="20"/>
              </w:rPr>
              <w:t>Deneys</w:t>
            </w:r>
            <w:proofErr w:type="spellEnd"/>
            <w:r>
              <w:rPr>
                <w:sz w:val="20"/>
                <w:szCs w:val="20"/>
              </w:rPr>
              <w:t xml:space="preserve"> Reitz Inc.)</w:t>
            </w:r>
          </w:p>
        </w:tc>
      </w:tr>
      <w:tr w:rsidR="00A51473" w14:paraId="176DE0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3594271" w14:textId="77777777" w:rsidR="00A51473" w:rsidRDefault="00000000">
            <w:r>
              <w:rPr>
                <w:b/>
                <w:bCs/>
                <w:color w:val="1A3557"/>
                <w:sz w:val="20"/>
                <w:szCs w:val="20"/>
              </w:rPr>
              <w:t>Tactical Objective: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6CFC7" w14:textId="77777777" w:rsidR="00A51473" w:rsidRDefault="00000000">
            <w:r>
              <w:rPr>
                <w:sz w:val="20"/>
                <w:szCs w:val="20"/>
              </w:rPr>
              <w:t>To force an artificial "Procedural Nullity" to block the Labour Court from hearing the merits of the automatically unfair constructive dismissal.</w:t>
            </w:r>
          </w:p>
        </w:tc>
      </w:tr>
    </w:tbl>
    <w:p w14:paraId="6D43EAF4" w14:textId="77777777" w:rsidR="00A51473" w:rsidRDefault="00A51473">
      <w:pPr>
        <w:spacing w:before="140" w:after="80"/>
      </w:pPr>
    </w:p>
    <w:p w14:paraId="619976D1" w14:textId="77777777" w:rsidR="00A51473" w:rsidRDefault="00000000">
      <w:pPr>
        <w:spacing w:before="200" w:after="80"/>
      </w:pPr>
      <w:r>
        <w:rPr>
          <w:b/>
          <w:bCs/>
          <w:color w:val="8B0000"/>
          <w:u w:val="single"/>
        </w:rPr>
        <w:t>FORENSIC FOCUS: STRUCTURAL ANALYSIS OF THE ATTRITION PLAYBOOK</w:t>
      </w:r>
    </w:p>
    <w:p w14:paraId="57702A95" w14:textId="77777777" w:rsidR="00A51473" w:rsidRDefault="00000000">
      <w:pPr>
        <w:spacing w:before="80" w:after="80"/>
        <w:jc w:val="both"/>
      </w:pPr>
      <w:r>
        <w:t xml:space="preserve">Exhibit 2 exposes the bad-faith litigation strategies deployed immediately following the parliamentary submission to derail, delay, and ultimately eliminate the </w:t>
      </w:r>
      <w:proofErr w:type="spellStart"/>
      <w:r>
        <w:t>whistleblower's</w:t>
      </w:r>
      <w:proofErr w:type="spellEnd"/>
      <w:r>
        <w:t xml:space="preserve"> access to the Labour Court. When a surgical, purely factual evidentiary bundle strips a corporate entity of its ability to exploit a "disgruntled employee" narrative, the corporate </w:t>
      </w:r>
      <w:proofErr w:type="spellStart"/>
      <w:r>
        <w:t>defense</w:t>
      </w:r>
      <w:proofErr w:type="spellEnd"/>
      <w:r>
        <w:t xml:space="preserve"> ego switches from attacking the substance to </w:t>
      </w:r>
      <w:proofErr w:type="spellStart"/>
      <w:r>
        <w:t>weaponizing</w:t>
      </w:r>
      <w:proofErr w:type="spellEnd"/>
      <w:r>
        <w:t xml:space="preserve"> court rules.</w:t>
      </w:r>
    </w:p>
    <w:p w14:paraId="051E7D3C" w14:textId="77777777" w:rsidR="00A51473" w:rsidRDefault="00A51473">
      <w:pPr>
        <w:spacing w:before="10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51473" w14:paraId="686A9F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DB717DF" w14:textId="77777777" w:rsidR="00A51473" w:rsidRDefault="00000000">
            <w:r>
              <w:rPr>
                <w:b/>
                <w:bCs/>
                <w:color w:val="FFFFFF"/>
                <w:sz w:val="18"/>
                <w:szCs w:val="18"/>
              </w:rPr>
              <w:t>TACTICAL PHASE</w:t>
            </w:r>
          </w:p>
        </w:tc>
        <w:tc>
          <w:tcPr>
            <w:tcW w:w="468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41BC53D" w14:textId="77777777" w:rsidR="00A51473" w:rsidRDefault="00000000">
            <w:r>
              <w:rPr>
                <w:b/>
                <w:bCs/>
                <w:color w:val="FFFFFF"/>
                <w:sz w:val="18"/>
                <w:szCs w:val="18"/>
              </w:rPr>
              <w:t>CORPORATE OBJECTIVE</w:t>
            </w:r>
          </w:p>
        </w:tc>
      </w:tr>
      <w:tr w:rsidR="00A51473" w14:paraId="3A3CBC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20" w:type="dxa"/>
              <w:bottom w:w="80" w:type="dxa"/>
              <w:right w:w="120" w:type="dxa"/>
            </w:tcMar>
          </w:tcPr>
          <w:p w14:paraId="5D6F688D" w14:textId="77777777" w:rsidR="00A51473" w:rsidRDefault="00000000">
            <w:r>
              <w:rPr>
                <w:b/>
                <w:bCs/>
                <w:color w:val="1A3557"/>
                <w:sz w:val="19"/>
                <w:szCs w:val="19"/>
              </w:rPr>
              <w:t>Phase 1: Kill File Before Speaker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ADFE9" w14:textId="77777777" w:rsidR="00A51473" w:rsidRDefault="00000000">
            <w:r>
              <w:rPr>
                <w:sz w:val="19"/>
                <w:szCs w:val="19"/>
              </w:rPr>
              <w:t>Prevent the parliamentary submission from being formally received and registered, nullifying its evidentiary status before oversight committees.</w:t>
            </w:r>
          </w:p>
        </w:tc>
      </w:tr>
      <w:tr w:rsidR="00A51473" w14:paraId="557CE3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20" w:type="dxa"/>
              <w:bottom w:w="80" w:type="dxa"/>
              <w:right w:w="120" w:type="dxa"/>
            </w:tcMar>
          </w:tcPr>
          <w:p w14:paraId="471FC457" w14:textId="77777777" w:rsidR="00A51473" w:rsidRDefault="00000000">
            <w:r>
              <w:rPr>
                <w:b/>
                <w:bCs/>
                <w:color w:val="1A3557"/>
                <w:sz w:val="19"/>
                <w:szCs w:val="19"/>
              </w:rPr>
              <w:t>Phase 2: "Without Prejudice" Bait-and-Switch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C28FB" w14:textId="77777777" w:rsidR="00A51473" w:rsidRDefault="00000000">
            <w:r>
              <w:rPr>
                <w:sz w:val="19"/>
                <w:szCs w:val="19"/>
              </w:rPr>
              <w:t>Deploy false commercial alignment to halt Labour Court momentum while running down statutory clocks. Maintain ongoing financial starvation and exposure to safety threats during manufactured delay.</w:t>
            </w:r>
          </w:p>
        </w:tc>
      </w:tr>
      <w:tr w:rsidR="00A51473" w14:paraId="75972D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20" w:type="dxa"/>
              <w:bottom w:w="80" w:type="dxa"/>
              <w:right w:w="120" w:type="dxa"/>
            </w:tcMar>
          </w:tcPr>
          <w:p w14:paraId="333CE9CC" w14:textId="77777777" w:rsidR="00A51473" w:rsidRDefault="00000000">
            <w:r>
              <w:rPr>
                <w:b/>
                <w:bCs/>
                <w:color w:val="1A3557"/>
                <w:sz w:val="19"/>
                <w:szCs w:val="19"/>
              </w:rPr>
              <w:t>Phase 3: Exploit Destitution to Force Procedural Nullity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21046" w14:textId="77777777" w:rsidR="00A51473" w:rsidRDefault="00000000">
            <w:r>
              <w:rPr>
                <w:sz w:val="19"/>
                <w:szCs w:val="19"/>
              </w:rPr>
              <w:t>Bank on micro-procedural omissions or missed filing windows from an unrepresented, destitute litigant to secure dismissal before a single piece of fraud evidence is judicially reviewed.</w:t>
            </w:r>
          </w:p>
        </w:tc>
      </w:tr>
    </w:tbl>
    <w:p w14:paraId="43AA89A7" w14:textId="77777777" w:rsidR="00A51473" w:rsidRDefault="00A51473">
      <w:pPr>
        <w:spacing w:before="140" w:after="80"/>
      </w:pPr>
    </w:p>
    <w:p w14:paraId="006F9687" w14:textId="77777777" w:rsidR="00A51473" w:rsidRDefault="00000000">
      <w:pPr>
        <w:spacing w:before="200" w:after="80"/>
      </w:pPr>
      <w:r>
        <w:rPr>
          <w:b/>
          <w:bCs/>
          <w:color w:val="8B0000"/>
          <w:u w:val="single"/>
        </w:rPr>
        <w:t>CORE COMPONENTS OF EXHIBIT 2</w:t>
      </w:r>
    </w:p>
    <w:p w14:paraId="53EE57C3" w14:textId="77777777" w:rsidR="00A51473" w:rsidRDefault="00A51473">
      <w:pPr>
        <w:spacing w:before="80" w:after="40"/>
      </w:pPr>
    </w:p>
    <w:p w14:paraId="79A9BFCF" w14:textId="77777777" w:rsidR="00A51473" w:rsidRDefault="00000000">
      <w:pPr>
        <w:spacing w:before="80" w:after="80"/>
        <w:jc w:val="both"/>
      </w:pPr>
      <w:r>
        <w:rPr>
          <w:b/>
          <w:bCs/>
        </w:rPr>
        <w:t>The "Procedural Nullity" Trap</w:t>
      </w:r>
    </w:p>
    <w:p w14:paraId="00306A0E" w14:textId="77777777" w:rsidR="00A51473" w:rsidRDefault="00000000">
      <w:pPr>
        <w:spacing w:before="80" w:after="80"/>
        <w:jc w:val="both"/>
      </w:pPr>
      <w:r>
        <w:t xml:space="preserve">Details how the </w:t>
      </w:r>
      <w:proofErr w:type="spellStart"/>
      <w:r>
        <w:t>defense</w:t>
      </w:r>
      <w:proofErr w:type="spellEnd"/>
      <w:r>
        <w:t xml:space="preserve"> team has structured its opposition to stand strictly on procedural technicalities. Knowing that the </w:t>
      </w:r>
      <w:proofErr w:type="spellStart"/>
      <w:r>
        <w:t>whistleblower</w:t>
      </w:r>
      <w:proofErr w:type="spellEnd"/>
      <w:r>
        <w:t xml:space="preserve"> has been reduced to total destitution, has zero access to running water, and is operating without formal legal representation, they are banking on micro-procedural omissions or missed filing windows to get the case thrown out of the Labour Court before a single piece of fraud evidence can be judicially reviewed.</w:t>
      </w:r>
    </w:p>
    <w:p w14:paraId="5C614651" w14:textId="77777777" w:rsidR="00A51473" w:rsidRDefault="00A51473">
      <w:pPr>
        <w:spacing w:before="80" w:after="40"/>
      </w:pPr>
    </w:p>
    <w:p w14:paraId="1AD38A37" w14:textId="77777777" w:rsidR="00A51473" w:rsidRDefault="00000000">
      <w:pPr>
        <w:spacing w:before="80" w:after="80"/>
        <w:jc w:val="both"/>
      </w:pPr>
      <w:r>
        <w:rPr>
          <w:b/>
          <w:bCs/>
        </w:rPr>
        <w:t>The "Without Prejudice" Bait-and-Switch</w:t>
      </w:r>
    </w:p>
    <w:p w14:paraId="406A1A5A" w14:textId="77777777" w:rsidR="00A51473" w:rsidRDefault="00000000">
      <w:pPr>
        <w:spacing w:before="80" w:after="80"/>
        <w:jc w:val="both"/>
      </w:pPr>
      <w:r>
        <w:t xml:space="preserve">Exposes their sudden, unprompted shift into out-of-court settlement talks as a bad-faith stalling tactic. This strategy was deployed to halt the momentum of the Labour Court filing by creating a false impression of commercial alignment, attempting to run down statutory clocks while the </w:t>
      </w:r>
      <w:proofErr w:type="spellStart"/>
      <w:r>
        <w:t>whistleblower</w:t>
      </w:r>
      <w:proofErr w:type="spellEnd"/>
      <w:r>
        <w:t xml:space="preserve"> </w:t>
      </w:r>
      <w:r>
        <w:lastRenderedPageBreak/>
        <w:t>remained exposed to ongoing financial starvation and physical safety threats from informal debt traps.</w:t>
      </w:r>
    </w:p>
    <w:p w14:paraId="4181B547" w14:textId="77777777" w:rsidR="00A51473" w:rsidRDefault="00A51473">
      <w:pPr>
        <w:spacing w:before="80" w:after="40"/>
      </w:pPr>
    </w:p>
    <w:p w14:paraId="281442AE" w14:textId="77777777" w:rsidR="00A51473" w:rsidRDefault="00000000">
      <w:pPr>
        <w:spacing w:before="80" w:after="80"/>
        <w:jc w:val="both"/>
      </w:pPr>
      <w:proofErr w:type="spellStart"/>
      <w:r>
        <w:rPr>
          <w:b/>
          <w:bCs/>
        </w:rPr>
        <w:t>Weaponization</w:t>
      </w:r>
      <w:proofErr w:type="spellEnd"/>
      <w:r>
        <w:rPr>
          <w:b/>
          <w:bCs/>
        </w:rPr>
        <w:t xml:space="preserve"> of the Extended Interim Interdict</w:t>
      </w:r>
    </w:p>
    <w:p w14:paraId="2C4ED78B" w14:textId="77777777" w:rsidR="00A51473" w:rsidRDefault="00000000">
      <w:pPr>
        <w:spacing w:before="80" w:after="80"/>
        <w:jc w:val="both"/>
      </w:pPr>
      <w:r>
        <w:t xml:space="preserve">Chronically </w:t>
      </w:r>
      <w:proofErr w:type="spellStart"/>
      <w:r>
        <w:t>catalogs</w:t>
      </w:r>
      <w:proofErr w:type="spellEnd"/>
      <w:r>
        <w:t xml:space="preserve"> how the extension of the ex parte interim interdict to 1 March 2027 is being used as a shield. The </w:t>
      </w:r>
      <w:proofErr w:type="spellStart"/>
      <w:r>
        <w:t>defense</w:t>
      </w:r>
      <w:proofErr w:type="spellEnd"/>
      <w:r>
        <w:t xml:space="preserve"> team continues to assert that any attempt by a destitute </w:t>
      </w:r>
      <w:proofErr w:type="spellStart"/>
      <w:r>
        <w:t>whistleblower</w:t>
      </w:r>
      <w:proofErr w:type="spellEnd"/>
      <w:r>
        <w:t xml:space="preserve"> to enforce a statutory UI-19 correction via the Department of Employment and Labour constitutes a breach of court rules, transforming an interim civil order into an instrument of systemic starvation.</w:t>
      </w:r>
    </w:p>
    <w:p w14:paraId="67AFAA2A" w14:textId="77777777" w:rsidR="00A51473" w:rsidRDefault="00A51473">
      <w:pPr>
        <w:spacing w:before="80" w:after="40"/>
      </w:pPr>
    </w:p>
    <w:p w14:paraId="591FEFB6" w14:textId="77777777" w:rsidR="00A51473" w:rsidRDefault="00000000">
      <w:pPr>
        <w:spacing w:before="80" w:after="80"/>
        <w:jc w:val="both"/>
      </w:pPr>
      <w:r>
        <w:rPr>
          <w:b/>
          <w:bCs/>
        </w:rPr>
        <w:t>Forensic Cost of Delay</w:t>
      </w:r>
    </w:p>
    <w:p w14:paraId="393C0CE2" w14:textId="77777777" w:rsidR="00A51473" w:rsidRDefault="00000000">
      <w:pPr>
        <w:spacing w:before="80" w:after="80"/>
        <w:jc w:val="both"/>
      </w:pPr>
      <w:r>
        <w:t xml:space="preserve">Establishes that by explicitly withdrawing the "without prejudice, save as to costs" settlement framework, the </w:t>
      </w:r>
      <w:proofErr w:type="spellStart"/>
      <w:r>
        <w:t>whistleblower</w:t>
      </w:r>
      <w:proofErr w:type="spellEnd"/>
      <w:r>
        <w:t xml:space="preserve"> has removed the respondents' ability to cap their financial liability. Every single day they attempt to hide behind a "procedural nullity" argument, their macro-exposure to the R7,307,642.72 actuarial damage schedule and public accountability via the parliamentary portfolio committees increases exponentially.</w:t>
      </w:r>
    </w:p>
    <w:p w14:paraId="4FC705EE" w14:textId="77777777" w:rsidR="00A51473" w:rsidRDefault="00A51473">
      <w:pPr>
        <w:spacing w:before="160" w:after="80"/>
      </w:pPr>
    </w:p>
    <w:p w14:paraId="213B4E69" w14:textId="77777777" w:rsidR="00A51473" w:rsidRDefault="00A51473">
      <w:pPr>
        <w:pBdr>
          <w:bottom w:val="single" w:sz="6" w:space="1" w:color="1A3557"/>
        </w:pBdr>
      </w:pPr>
    </w:p>
    <w:p w14:paraId="7B3BC88A" w14:textId="77777777" w:rsidR="00A51473" w:rsidRDefault="00A5147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51473" w14:paraId="00E3EEEC" w14:textId="77777777">
        <w:tblPrEx>
          <w:tblCellMar>
            <w:top w:w="0" w:type="dxa"/>
            <w:bottom w:w="0" w:type="dxa"/>
          </w:tblCellMar>
        </w:tblPrEx>
        <w:tc>
          <w:tcPr>
            <w:tcW w:w="4680" w:type="dxa"/>
            <w:tcBorders>
              <w:top w:val="nil"/>
              <w:left w:val="nil"/>
              <w:bottom w:val="nil"/>
              <w:right w:val="nil"/>
            </w:tcBorders>
            <w:shd w:val="clear" w:color="auto" w:fill="F2F4F7"/>
            <w:tcMar>
              <w:top w:w="160" w:type="dxa"/>
              <w:left w:w="200" w:type="dxa"/>
              <w:bottom w:w="160" w:type="dxa"/>
              <w:right w:w="200" w:type="dxa"/>
            </w:tcMar>
          </w:tcPr>
          <w:p w14:paraId="3F895164" w14:textId="77777777" w:rsidR="00A51473" w:rsidRDefault="00000000">
            <w:r>
              <w:rPr>
                <w:i/>
                <w:iCs/>
                <w:color w:val="555555"/>
                <w:sz w:val="18"/>
                <w:szCs w:val="18"/>
              </w:rPr>
              <w:t>Signed and Entered into the Forensic Record:</w:t>
            </w:r>
          </w:p>
          <w:p w14:paraId="12043B87" w14:textId="77777777" w:rsidR="00A51473" w:rsidRDefault="00A51473">
            <w:pPr>
              <w:spacing w:before="80" w:after="40"/>
            </w:pPr>
          </w:p>
          <w:p w14:paraId="476C677C" w14:textId="77777777" w:rsidR="00A51473" w:rsidRDefault="00000000">
            <w:r>
              <w:rPr>
                <w:b/>
                <w:bCs/>
                <w:color w:val="1A3557"/>
                <w:sz w:val="26"/>
                <w:szCs w:val="26"/>
              </w:rPr>
              <w:t>Wilbur William Matthee</w:t>
            </w:r>
          </w:p>
          <w:p w14:paraId="24CAD7CA" w14:textId="77777777" w:rsidR="00A51473" w:rsidRDefault="00000000">
            <w:r>
              <w:rPr>
                <w:color w:val="444444"/>
                <w:sz w:val="18"/>
                <w:szCs w:val="18"/>
              </w:rPr>
              <w:t xml:space="preserve">RN  |  </w:t>
            </w:r>
            <w:proofErr w:type="spellStart"/>
            <w:r>
              <w:rPr>
                <w:color w:val="444444"/>
                <w:sz w:val="18"/>
                <w:szCs w:val="18"/>
              </w:rPr>
              <w:t>BTech</w:t>
            </w:r>
            <w:proofErr w:type="spellEnd"/>
            <w:r>
              <w:rPr>
                <w:color w:val="444444"/>
                <w:sz w:val="18"/>
                <w:szCs w:val="18"/>
              </w:rPr>
              <w:t xml:space="preserve"> General Nursing  |  PGDip Health Services Management (NQF 8)</w:t>
            </w:r>
          </w:p>
          <w:p w14:paraId="14C52EC3" w14:textId="77777777" w:rsidR="00A51473" w:rsidRDefault="00000000">
            <w:r>
              <w:rPr>
                <w:color w:val="2E5F8A"/>
                <w:sz w:val="18"/>
                <w:szCs w:val="18"/>
              </w:rPr>
              <w:t xml:space="preserve">Founder – </w:t>
            </w:r>
            <w:proofErr w:type="spellStart"/>
            <w:r>
              <w:rPr>
                <w:color w:val="2E5F8A"/>
                <w:sz w:val="18"/>
                <w:szCs w:val="18"/>
              </w:rPr>
              <w:t>EthicHawks</w:t>
            </w:r>
            <w:proofErr w:type="spellEnd"/>
            <w:r>
              <w:rPr>
                <w:color w:val="2E5F8A"/>
                <w:sz w:val="18"/>
                <w:szCs w:val="18"/>
              </w:rPr>
              <w:t xml:space="preserve"> Forensic Governance &amp; Compliance Consultancy</w:t>
            </w:r>
          </w:p>
          <w:p w14:paraId="6B9FA22A" w14:textId="77777777" w:rsidR="00A51473" w:rsidRDefault="00000000">
            <w:r>
              <w:rPr>
                <w:i/>
                <w:iCs/>
                <w:color w:val="666666"/>
                <w:sz w:val="16"/>
                <w:szCs w:val="16"/>
              </w:rPr>
              <w:t>CI (SA) Compliance Practitioner (Associate) – CISA Pledge to the Code of Ethical and Professional Conduct</w:t>
            </w:r>
          </w:p>
        </w:tc>
        <w:tc>
          <w:tcPr>
            <w:tcW w:w="4680" w:type="dxa"/>
            <w:tcBorders>
              <w:top w:val="nil"/>
              <w:left w:val="nil"/>
              <w:bottom w:val="nil"/>
              <w:right w:val="nil"/>
            </w:tcBorders>
            <w:shd w:val="clear" w:color="auto" w:fill="1A3557"/>
            <w:tcMar>
              <w:top w:w="160" w:type="dxa"/>
              <w:left w:w="200" w:type="dxa"/>
              <w:bottom w:w="160" w:type="dxa"/>
              <w:right w:w="200" w:type="dxa"/>
            </w:tcMar>
          </w:tcPr>
          <w:p w14:paraId="661D0F5B" w14:textId="77777777" w:rsidR="00A51473" w:rsidRDefault="00000000">
            <w:pPr>
              <w:jc w:val="center"/>
            </w:pPr>
            <w:r>
              <w:rPr>
                <w:b/>
                <w:bCs/>
                <w:color w:val="A8C8E8"/>
                <w:sz w:val="18"/>
                <w:szCs w:val="18"/>
              </w:rPr>
              <w:t>ACTIVE PROCEEDINGS</w:t>
            </w:r>
          </w:p>
          <w:p w14:paraId="03E2F7B2" w14:textId="77777777" w:rsidR="00A51473" w:rsidRDefault="00A51473">
            <w:pPr>
              <w:spacing w:before="60" w:after="40"/>
            </w:pPr>
          </w:p>
          <w:p w14:paraId="35450EC7" w14:textId="77777777" w:rsidR="00A51473" w:rsidRDefault="00000000">
            <w:r>
              <w:rPr>
                <w:color w:val="FFFFFF"/>
                <w:sz w:val="16"/>
                <w:szCs w:val="16"/>
              </w:rPr>
              <w:t>Western Cape High Court: 2026-066952 | 2026-086906</w:t>
            </w:r>
          </w:p>
          <w:p w14:paraId="3554BB17" w14:textId="77777777" w:rsidR="00A51473" w:rsidRDefault="00000000">
            <w:r>
              <w:rPr>
                <w:color w:val="FFFFFF"/>
                <w:sz w:val="16"/>
                <w:szCs w:val="16"/>
              </w:rPr>
              <w:t>Labour Court: 2026-083299 | 2026-077546</w:t>
            </w:r>
          </w:p>
          <w:p w14:paraId="0E9A302F" w14:textId="77777777" w:rsidR="00A51473" w:rsidRDefault="00000000">
            <w:r>
              <w:rPr>
                <w:color w:val="FFFFFF"/>
                <w:sz w:val="16"/>
                <w:szCs w:val="16"/>
              </w:rPr>
              <w:t>SAPS: CAS 1954/3/2026</w:t>
            </w:r>
          </w:p>
          <w:p w14:paraId="4C3731D9" w14:textId="77777777" w:rsidR="00A51473" w:rsidRDefault="00000000">
            <w:r>
              <w:rPr>
                <w:color w:val="FFFFFF"/>
                <w:sz w:val="16"/>
                <w:szCs w:val="16"/>
              </w:rPr>
              <w:t>B-BBEE Commission: Case 5/02/2026</w:t>
            </w:r>
          </w:p>
          <w:p w14:paraId="7C802333" w14:textId="77777777" w:rsidR="00A51473" w:rsidRDefault="00A51473">
            <w:pPr>
              <w:spacing w:before="60" w:after="40"/>
            </w:pPr>
          </w:p>
          <w:p w14:paraId="5AD365C5" w14:textId="77777777" w:rsidR="00A51473" w:rsidRDefault="00000000">
            <w:r>
              <w:rPr>
                <w:i/>
                <w:iCs/>
                <w:color w:val="A8C8E8"/>
                <w:sz w:val="16"/>
                <w:szCs w:val="16"/>
              </w:rPr>
              <w:t xml:space="preserve">Opposing Counsel: </w:t>
            </w:r>
            <w:proofErr w:type="spellStart"/>
            <w:r>
              <w:rPr>
                <w:i/>
                <w:iCs/>
                <w:color w:val="A8C8E8"/>
                <w:sz w:val="16"/>
                <w:szCs w:val="16"/>
              </w:rPr>
              <w:t>Deneys</w:t>
            </w:r>
            <w:proofErr w:type="spellEnd"/>
            <w:r>
              <w:rPr>
                <w:i/>
                <w:iCs/>
                <w:color w:val="A8C8E8"/>
                <w:sz w:val="16"/>
                <w:szCs w:val="16"/>
              </w:rPr>
              <w:t xml:space="preserve"> Reitz Inc.</w:t>
            </w:r>
          </w:p>
          <w:p w14:paraId="7AF41559" w14:textId="77777777" w:rsidR="00A51473" w:rsidRDefault="00000000">
            <w:r>
              <w:rPr>
                <w:i/>
                <w:iCs/>
                <w:color w:val="A8C8E8"/>
                <w:sz w:val="16"/>
                <w:szCs w:val="16"/>
              </w:rPr>
              <w:t>(Jason Whyte &amp; Frances Barker)</w:t>
            </w:r>
          </w:p>
        </w:tc>
      </w:tr>
    </w:tbl>
    <w:p w14:paraId="43518350" w14:textId="77777777" w:rsidR="00A51473" w:rsidRDefault="00A51473">
      <w:pPr>
        <w:spacing w:before="80"/>
      </w:pPr>
    </w:p>
    <w:sectPr w:rsidR="00A5147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BEA68" w14:textId="77777777" w:rsidR="00203CF4" w:rsidRDefault="00203CF4">
      <w:r>
        <w:separator/>
      </w:r>
    </w:p>
  </w:endnote>
  <w:endnote w:type="continuationSeparator" w:id="0">
    <w:p w14:paraId="64962A9E" w14:textId="77777777" w:rsidR="00203CF4" w:rsidRDefault="00203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BF333" w14:textId="77777777" w:rsidR="00A51473" w:rsidRDefault="00000000">
    <w:pPr>
      <w:pBdr>
        <w:top w:val="single" w:sz="4" w:space="1" w:color="2E5F8A"/>
      </w:pBdr>
      <w:tabs>
        <w:tab w:val="right" w:pos="9026"/>
      </w:tabs>
      <w:spacing w:before="100"/>
    </w:pPr>
    <w:r>
      <w:rPr>
        <w:color w:val="666666"/>
        <w:sz w:val="16"/>
        <w:szCs w:val="16"/>
      </w:rPr>
      <w:t xml:space="preserve">STRICTLY CONFIDENTIAL – PROTECTED DISCLOSURE (PDA Sections 5, 7 &amp; 8)     Page </w:t>
    </w:r>
    <w:r>
      <w:rPr>
        <w:color w:val="666666"/>
        <w:sz w:val="16"/>
        <w:szCs w:val="16"/>
      </w:rPr>
      <w:fldChar w:fldCharType="begin"/>
    </w:r>
    <w:r>
      <w:rPr>
        <w:color w:val="666666"/>
        <w:sz w:val="16"/>
        <w:szCs w:val="16"/>
      </w:rPr>
      <w:instrText>PAGE</w:instrText>
    </w:r>
    <w:r>
      <w:rPr>
        <w:color w:val="666666"/>
        <w:sz w:val="16"/>
        <w:szCs w:val="16"/>
      </w:rPr>
      <w:fldChar w:fldCharType="separate"/>
    </w:r>
    <w:r w:rsidR="005759C7">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5759C7">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59FD3" w14:textId="77777777" w:rsidR="00203CF4" w:rsidRDefault="00203CF4">
      <w:r>
        <w:separator/>
      </w:r>
    </w:p>
  </w:footnote>
  <w:footnote w:type="continuationSeparator" w:id="0">
    <w:p w14:paraId="2B16F7EA" w14:textId="77777777" w:rsidR="00203CF4" w:rsidRDefault="00203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44BB" w14:textId="77777777" w:rsidR="00A51473" w:rsidRDefault="00000000">
    <w:pPr>
      <w:pBdr>
        <w:bottom w:val="single" w:sz="4" w:space="1" w:color="2E5F8A"/>
      </w:pBdr>
      <w:spacing w:after="100"/>
    </w:pPr>
    <w:proofErr w:type="spellStart"/>
    <w:r>
      <w:rPr>
        <w:color w:val="666666"/>
        <w:sz w:val="16"/>
        <w:szCs w:val="16"/>
      </w:rPr>
      <w:t>EthicHawks</w:t>
    </w:r>
    <w:proofErr w:type="spellEnd"/>
    <w:r>
      <w:rPr>
        <w:color w:val="666666"/>
        <w:sz w:val="16"/>
        <w:szCs w:val="16"/>
      </w:rPr>
      <w:t xml:space="preserve"> Forensic Governance &amp; Compliance Consultancy  |  Parliamentary Oversight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12EE"/>
    <w:multiLevelType w:val="hybridMultilevel"/>
    <w:tmpl w:val="FFFFFFFF"/>
    <w:lvl w:ilvl="0" w:tplc="E7B8FDAC">
      <w:start w:val="1"/>
      <w:numFmt w:val="bullet"/>
      <w:lvlText w:val="●"/>
      <w:lvlJc w:val="left"/>
      <w:pPr>
        <w:ind w:left="720" w:hanging="360"/>
      </w:pPr>
    </w:lvl>
    <w:lvl w:ilvl="1" w:tplc="4118BF30">
      <w:start w:val="1"/>
      <w:numFmt w:val="bullet"/>
      <w:lvlText w:val="○"/>
      <w:lvlJc w:val="left"/>
      <w:pPr>
        <w:ind w:left="1440" w:hanging="360"/>
      </w:pPr>
    </w:lvl>
    <w:lvl w:ilvl="2" w:tplc="364A2BA6">
      <w:start w:val="1"/>
      <w:numFmt w:val="bullet"/>
      <w:lvlText w:val="■"/>
      <w:lvlJc w:val="left"/>
      <w:pPr>
        <w:ind w:left="2160" w:hanging="360"/>
      </w:pPr>
    </w:lvl>
    <w:lvl w:ilvl="3" w:tplc="E3E08B84">
      <w:start w:val="1"/>
      <w:numFmt w:val="bullet"/>
      <w:lvlText w:val="●"/>
      <w:lvlJc w:val="left"/>
      <w:pPr>
        <w:ind w:left="2880" w:hanging="360"/>
      </w:pPr>
    </w:lvl>
    <w:lvl w:ilvl="4" w:tplc="B93E2658">
      <w:start w:val="1"/>
      <w:numFmt w:val="bullet"/>
      <w:lvlText w:val="○"/>
      <w:lvlJc w:val="left"/>
      <w:pPr>
        <w:ind w:left="3600" w:hanging="360"/>
      </w:pPr>
    </w:lvl>
    <w:lvl w:ilvl="5" w:tplc="6E507732">
      <w:start w:val="1"/>
      <w:numFmt w:val="bullet"/>
      <w:lvlText w:val="■"/>
      <w:lvlJc w:val="left"/>
      <w:pPr>
        <w:ind w:left="4320" w:hanging="360"/>
      </w:pPr>
    </w:lvl>
    <w:lvl w:ilvl="6" w:tplc="40C40830">
      <w:start w:val="1"/>
      <w:numFmt w:val="bullet"/>
      <w:lvlText w:val="●"/>
      <w:lvlJc w:val="left"/>
      <w:pPr>
        <w:ind w:left="5040" w:hanging="360"/>
      </w:pPr>
    </w:lvl>
    <w:lvl w:ilvl="7" w:tplc="59E643A8">
      <w:start w:val="1"/>
      <w:numFmt w:val="bullet"/>
      <w:lvlText w:val="●"/>
      <w:lvlJc w:val="left"/>
      <w:pPr>
        <w:ind w:left="5760" w:hanging="360"/>
      </w:pPr>
    </w:lvl>
    <w:lvl w:ilvl="8" w:tplc="DF042904">
      <w:start w:val="1"/>
      <w:numFmt w:val="bullet"/>
      <w:lvlText w:val="●"/>
      <w:lvlJc w:val="left"/>
      <w:pPr>
        <w:ind w:left="6480" w:hanging="360"/>
      </w:pPr>
    </w:lvl>
  </w:abstractNum>
  <w:abstractNum w:abstractNumId="1" w15:restartNumberingAfterBreak="0">
    <w:nsid w:val="71760F01"/>
    <w:multiLevelType w:val="hybridMultilevel"/>
    <w:tmpl w:val="FFFFFFFF"/>
    <w:lvl w:ilvl="0" w:tplc="8A6A7F00">
      <w:start w:val="1"/>
      <w:numFmt w:val="bullet"/>
      <w:lvlText w:val="■"/>
      <w:lvlJc w:val="left"/>
      <w:pPr>
        <w:ind w:left="720" w:hanging="360"/>
      </w:pPr>
      <w:rPr>
        <w:color w:val="2E5F8A"/>
      </w:rPr>
    </w:lvl>
    <w:lvl w:ilvl="1" w:tplc="A762E626">
      <w:numFmt w:val="decimal"/>
      <w:lvlText w:val=""/>
      <w:lvlJc w:val="left"/>
    </w:lvl>
    <w:lvl w:ilvl="2" w:tplc="C0226366">
      <w:numFmt w:val="decimal"/>
      <w:lvlText w:val=""/>
      <w:lvlJc w:val="left"/>
    </w:lvl>
    <w:lvl w:ilvl="3" w:tplc="9E1ACBBC">
      <w:numFmt w:val="decimal"/>
      <w:lvlText w:val=""/>
      <w:lvlJc w:val="left"/>
    </w:lvl>
    <w:lvl w:ilvl="4" w:tplc="98AEB17C">
      <w:numFmt w:val="decimal"/>
      <w:lvlText w:val=""/>
      <w:lvlJc w:val="left"/>
    </w:lvl>
    <w:lvl w:ilvl="5" w:tplc="84229E3E">
      <w:numFmt w:val="decimal"/>
      <w:lvlText w:val=""/>
      <w:lvlJc w:val="left"/>
    </w:lvl>
    <w:lvl w:ilvl="6" w:tplc="30B610D4">
      <w:numFmt w:val="decimal"/>
      <w:lvlText w:val=""/>
      <w:lvlJc w:val="left"/>
    </w:lvl>
    <w:lvl w:ilvl="7" w:tplc="1BB8D434">
      <w:numFmt w:val="decimal"/>
      <w:lvlText w:val=""/>
      <w:lvlJc w:val="left"/>
    </w:lvl>
    <w:lvl w:ilvl="8" w:tplc="8E34CAB8">
      <w:numFmt w:val="decimal"/>
      <w:lvlText w:val=""/>
      <w:lvlJc w:val="left"/>
    </w:lvl>
  </w:abstractNum>
  <w:num w:numId="1" w16cid:durableId="1566724592">
    <w:abstractNumId w:val="0"/>
    <w:lvlOverride w:ilvl="0">
      <w:startOverride w:val="1"/>
    </w:lvlOverride>
  </w:num>
  <w:num w:numId="2" w16cid:durableId="10509548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473"/>
    <w:rsid w:val="00203CF4"/>
    <w:rsid w:val="005759C7"/>
    <w:rsid w:val="00724F60"/>
    <w:rsid w:val="00A5147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6560191"/>
  <w15:docId w15:val="{C7A7C258-A01B-A544-B14A-BC1B6BA0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557"/>
      <w:sz w:val="30"/>
      <w:szCs w:val="30"/>
    </w:rPr>
  </w:style>
  <w:style w:type="paragraph" w:styleId="Heading2">
    <w:name w:val="heading 2"/>
    <w:uiPriority w:val="9"/>
    <w:unhideWhenUsed/>
    <w:qFormat/>
    <w:pPr>
      <w:spacing w:before="280" w:after="100"/>
      <w:outlineLvl w:val="1"/>
    </w:pPr>
    <w:rPr>
      <w:b/>
      <w:bCs/>
      <w:color w:val="2E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1519</Words>
  <Characters>8661</Characters>
  <Application>Microsoft Office Word</Application>
  <DocSecurity>0</DocSecurity>
  <Lines>72</Lines>
  <Paragraphs>20</Paragraphs>
  <ScaleCrop>false</ScaleCrop>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cp:revision>
  <dcterms:created xsi:type="dcterms:W3CDTF">2026-06-22T11:38:00Z</dcterms:created>
  <dcterms:modified xsi:type="dcterms:W3CDTF">2026-06-22T11:47:00Z</dcterms:modified>
</cp:coreProperties>
</file>