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17"/>
        <w:gridCol w:w="2729"/>
      </w:tblGrid>
      <w:tr>
        <w:tc>
          <w:tcPr>
            <w:tcW w:type="dxa" w:w="70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78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ETHICHAWKS</w:t>
            </w:r>
          </w:p>
          <w:p>
            <w:r>
              <w:rPr>
                <w:rFonts w:ascii="Arial" w:cs="Arial" w:eastAsia="Arial" w:hAnsi="Arial"/>
                <w:color w:val="C8E6E6"/>
                <w:sz w:val="18"/>
                <w:szCs w:val="18"/>
              </w:rPr>
              <w:t xml:space="preserve">FORENSIC GOVERNANCE &amp; COMPLIANCE</w:t>
            </w:r>
          </w:p>
        </w:tc>
        <w:tc>
          <w:tcPr>
            <w:tcW w:type="dxa" w:w="2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E6E6"/>
                <w:sz w:val="15"/>
                <w:szCs w:val="15"/>
              </w:rPr>
              <w:t xml:space="preserve">info@ethichawks.co.za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E6E6"/>
                <w:sz w:val="15"/>
                <w:szCs w:val="15"/>
              </w:rPr>
              <w:t xml:space="preserve">wilburmat@gmail.com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E6E6"/>
                <w:sz w:val="15"/>
                <w:szCs w:val="15"/>
              </w:rPr>
              <w:t xml:space="preserve">069 635 1435 / 063 378 8782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E6E6"/>
                <w:sz w:val="15"/>
                <w:szCs w:val="15"/>
              </w:rPr>
              <w:t xml:space="preserve">15 Bellevue Street, Voorbrug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E6E6"/>
                <w:sz w:val="15"/>
                <w:szCs w:val="15"/>
              </w:rPr>
              <w:t xml:space="preserve">Cape Town, 7100</w:t>
            </w:r>
          </w:p>
        </w:tc>
      </w:tr>
    </w:tbl>
    <w:p>
      <w:pPr>
        <w:pBdr>
          <w:bottom w:val="single" w:color="C8942A" w:sz="6"/>
        </w:pBdr>
        <w:spacing w:before="0" w:after="0"/>
      </w:pPr>
    </w:p>
    <w:p>
      <w:pPr>
        <w:spacing w:before="0"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7992"/>
      </w:tblGrid>
      <w:tr>
        <w:tc>
          <w:tcPr>
            <w:tcW w:type="dxa" w:w="1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TO: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E35"/>
                <w:sz w:val="20"/>
                <w:szCs w:val="20"/>
              </w:rPr>
              <w:t xml:space="preserve">The B-BBEE Commission — Investigator: Ms Moipone Kgaboesele</w:t>
            </w:r>
          </w:p>
        </w:tc>
      </w:tr>
      <w:tr>
        <w:tc>
          <w:tcPr>
            <w:tcW w:type="dxa" w:w="1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REF: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E35"/>
                <w:sz w:val="20"/>
                <w:szCs w:val="20"/>
              </w:rPr>
              <w:t xml:space="preserve">Case No. 5/02/2026</w:t>
            </w:r>
          </w:p>
        </w:tc>
      </w:tr>
      <w:tr>
        <w:tc>
          <w:tcPr>
            <w:tcW w:type="dxa" w:w="1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DATE: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E35"/>
                <w:sz w:val="20"/>
                <w:szCs w:val="20"/>
              </w:rPr>
              <w:t xml:space="preserve">19 March 2026</w:t>
            </w:r>
          </w:p>
        </w:tc>
      </w:tr>
      <w:tr>
        <w:tc>
          <w:tcPr>
            <w:tcW w:type="dxa" w:w="1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RE: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2E35"/>
                <w:sz w:val="20"/>
                <w:szCs w:val="20"/>
              </w:rPr>
              <w:t xml:space="preserve">FACTUAL UPDATE — HIGH COURT SECTION 162 APPLICATION FILED 19 MARCH 2026 | FILING REFERENCE HCGS951842 | SANLAM TRANSACTION SENS ANNOUNCEMENT 18 MARCH 2026</w:t>
            </w:r>
          </w:p>
        </w:tc>
      </w:tr>
    </w:tbl>
    <w:p>
      <w:pPr>
        <w:spacing w:before="0" w:after="160"/>
      </w:pPr>
    </w:p>
    <w:p>
      <w:pPr>
        <w:pBdr>
          <w:bottom w:val="single" w:color="1B7A78" w:sz="8"/>
        </w:pBdr>
        <w:spacing w:before="0" w:after="0"/>
      </w:pPr>
    </w:p>
    <w:p>
      <w:pPr>
        <w:spacing w:before="0" w:after="120"/>
      </w:pPr>
    </w:p>
    <w:p>
      <w:pPr>
        <w:spacing w:before="120" w:after="120"/>
      </w:pPr>
      <w:r>
        <w:rPr>
          <w:rFonts w:ascii="Arial" w:cs="Arial" w:eastAsia="Arial" w:hAnsi="Arial"/>
          <w:color w:val="1A2E35"/>
          <w:sz w:val="22"/>
          <w:szCs w:val="22"/>
        </w:rPr>
        <w:t xml:space="preserve">Dear Commissioner / Ms Kgaboesele,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I write to provide a factual update to the above-referenced B-BBEE Commission file, which I am obliged to keep current as proceedings develop across parallel forums.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7A78"/>
          <w:sz w:val="24"/>
          <w:szCs w:val="24"/>
        </w:rPr>
        <w:t xml:space="preserve">1.  HIGH COURT SECTION 162 APPLICATION — FILED 19 MARCH 2026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On 19 March 2026, I formally filed an urgent Section 162 Director Delinquency Application with the High Court of South Africa (Western Cape Division, Cape Town) under the following reference:</w:t>
      </w:r>
    </w:p>
    <w:p>
      <w:pPr>
        <w:spacing w:before="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8942A" w:sz="4"/>
              <w:left w:val="single" w:color="C8942A" w:sz="4"/>
              <w:bottom w:val="single" w:color="C8942A" w:sz="4"/>
              <w:right w:val="single" w:color="C8942A" w:sz="4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2E35"/>
                <w:sz w:val="22"/>
                <w:szCs w:val="22"/>
              </w:rPr>
              <w:t xml:space="preserve">Filing Reference: HCGS951842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35"/>
                <w:sz w:val="20"/>
                <w:szCs w:val="20"/>
              </w:rPr>
              <w:t xml:space="preserve">High Court of South Africa — Western Cape Division, Cape Town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35"/>
                <w:sz w:val="20"/>
                <w:szCs w:val="20"/>
              </w:rPr>
              <w:t xml:space="preserve">Matter: Matthee v Bruno Fernandes &amp; Others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35"/>
                <w:sz w:val="20"/>
                <w:szCs w:val="20"/>
              </w:rPr>
              <w:t xml:space="preserve">Status: Pending case number allocation by the Registrar</w:t>
            </w:r>
          </w:p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2E35"/>
                <w:sz w:val="20"/>
                <w:szCs w:val="20"/>
              </w:rPr>
              <w:t xml:space="preserve">Respondents: Lead Independent Director, Chairperson Social &amp; Ethics Committee, Chairperson Audit &amp; Risk Committee, CEO, Group Company Secretary, AfroCentric Investment Corporation Limited (JSE: ACT)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7A78"/>
          <w:sz w:val="24"/>
          <w:szCs w:val="24"/>
        </w:rPr>
        <w:t xml:space="preserve">2.  CONNECTION TO B-BBEE COMMISSION CASE 5/02/2026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The High Court application and the B-BBEE Commission case arise from the same underlying factual matrix. The following elements of the High Court application are directly relevant to this Commission's investigation:</w:t>
      </w:r>
    </w:p>
    <w:p>
      <w:pPr>
        <w:spacing w:before="100" w:after="40"/>
        <w:ind w:left="36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2.1  </w:t>
      </w:r>
    </w:p>
    <w:p>
      <w:pPr>
        <w:spacing w:before="80" w:after="80"/>
        <w:ind w:left="720"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The Cheryl-Dawn Modern written admission of 19 January 2026 — which forms the primary fronting evidence in Case 5/02/2026 — is also filed as Annexure "F" in the High Court application;</w:t>
      </w:r>
    </w:p>
    <w:p>
      <w:pPr>
        <w:spacing w:before="100" w:after="40"/>
        <w:ind w:left="36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2.2  </w:t>
      </w:r>
    </w:p>
    <w:p>
      <w:pPr>
        <w:spacing w:before="80" w:after="80"/>
        <w:ind w:left="720"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The Section 162 application includes a finding that the named directors' failure to act upon the P1 Material Risk Report of 9 December 2025 — which explicitly warned of B-BBEE exposure including a potential fine of approximately R580,000,000 (10% of annual group turnover) — constitutes a deemed contravention under Section 60 of the Employment Equity Act and gross negligence under the Companies Act; and</w:t>
      </w:r>
    </w:p>
    <w:p>
      <w:pPr>
        <w:spacing w:before="100" w:after="40"/>
        <w:ind w:left="36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2.3  </w:t>
      </w:r>
    </w:p>
    <w:p>
      <w:pPr>
        <w:spacing w:before="80" w:after="80"/>
        <w:ind w:left="720"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The Naming Convention mechanism documented in Case 5/02/2026 is pleaded in the High Court application as evidence of the broader pattern of regulatory non-compliance that the board failed to address.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7A78"/>
          <w:sz w:val="24"/>
          <w:szCs w:val="24"/>
        </w:rPr>
        <w:t xml:space="preserve">3.  SANLAM TRANSACTION — SENS ANNOUNCEMENT 18 MARCH 2026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I draw the Commission's attention to the following factual development as a matter relevant to the B-BBEE compliance posture of AfroCentric Investment Corporation Limited during the pendency of this investigation.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On 18 March 2026 — the day preceding the High Court application filing — AfroCentric Investment Corporation Limited released a SENS announcement regarding a transaction involving Sanlam. The Company's share price reached a 52-week low of R0.71 on that date, representing a significant market movement. I place this on factual record as context for the Commission's assessment of the Company's current compliance and disclosure posture.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I make no further submission on this point at this stage. The Commission is better placed than I am to assess the B-BBEE implications of a major corporate transaction occurring during an active fronting investigation.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7A78"/>
          <w:sz w:val="24"/>
          <w:szCs w:val="24"/>
        </w:rPr>
        <w:t xml:space="preserve">4.  STATUS OF SUBPOENA REQUESTS</w:t>
      </w: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I confirm that my requests for subpoena of the following remain outstanding and I ask the Commission to note their continued relevance to both the Commission investigation and the High Court proceedings:</w:t>
      </w:r>
    </w:p>
    <w:p>
      <w:pPr>
        <w:spacing w:before="100" w:after="40"/>
        <w:ind w:left="36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4.1  </w:t>
      </w:r>
    </w:p>
    <w:p>
      <w:pPr>
        <w:spacing w:before="80" w:after="80"/>
        <w:ind w:left="720"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The Naming Convention Teams meeting recording; and</w:t>
      </w:r>
    </w:p>
    <w:p>
      <w:pPr>
        <w:spacing w:before="100" w:after="40"/>
        <w:ind w:left="360"/>
      </w:pPr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4.2  </w:t>
      </w:r>
    </w:p>
    <w:p>
      <w:pPr>
        <w:spacing w:before="80" w:after="80"/>
        <w:ind w:left="720"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The 2024/2025 B-BBEE verification certificate.</w:t>
      </w:r>
    </w:p>
    <w:p>
      <w:pPr>
        <w:spacing w:before="0" w:after="80"/>
      </w:pPr>
    </w:p>
    <w:p>
      <w:pPr>
        <w:spacing w:before="80" w:after="80"/>
        <w:ind/>
        <w:jc w:val="both"/>
      </w:pPr>
      <w:r>
        <w:rPr>
          <w:rFonts w:ascii="Arial" w:cs="Arial" w:eastAsia="Arial" w:hAnsi="Arial"/>
          <w:b w:val="false"/>
          <w:bCs w:val="false"/>
          <w:color w:val="1A2E35"/>
          <w:sz w:val="22"/>
          <w:szCs w:val="22"/>
        </w:rPr>
        <w:t xml:space="preserve">I remain available to provide any further documentation required by the Commission and will continue to update this file as proceedings develop.</w:t>
      </w:r>
    </w:p>
    <w:p>
      <w:pPr>
        <w:spacing w:before="0" w:after="120"/>
      </w:pPr>
    </w:p>
    <w:p>
      <w:r>
        <w:rPr>
          <w:rFonts w:ascii="Arial" w:cs="Arial" w:eastAsia="Arial" w:hAnsi="Arial"/>
          <w:color w:val="1A2E35"/>
          <w:sz w:val="22"/>
          <w:szCs w:val="22"/>
        </w:rPr>
        <w:t xml:space="preserve">Yours faithfully,</w:t>
      </w:r>
    </w:p>
    <w:p>
      <w:pPr>
        <w:spacing w:before="0" w:after="340"/>
      </w:pPr>
    </w:p>
    <w:p>
      <w:r>
        <w:rPr>
          <w:rFonts w:ascii="Arial" w:cs="Arial" w:eastAsia="Arial" w:hAnsi="Arial"/>
          <w:b/>
          <w:bCs/>
          <w:color w:val="1A2E35"/>
          <w:sz w:val="22"/>
          <w:szCs w:val="22"/>
        </w:rPr>
        <w:t xml:space="preserve">WILBUR WILLIAM MATTHEE</w:t>
      </w:r>
    </w:p>
    <w:p>
      <w:r>
        <w:rPr>
          <w:rFonts w:ascii="Arial" w:cs="Arial" w:eastAsia="Arial" w:hAnsi="Arial"/>
          <w:color w:val="1B7A78"/>
          <w:sz w:val="21"/>
          <w:szCs w:val="21"/>
        </w:rPr>
        <w:t xml:space="preserve">Founder — EthicHawks  |  Forensic Governance Architect</w:t>
      </w:r>
    </w:p>
    <w:p>
      <w:r>
        <w:rPr>
          <w:rFonts w:ascii="Arial" w:cs="Arial" w:eastAsia="Arial" w:hAnsi="Arial"/>
          <w:color w:val="1A2E35"/>
          <w:sz w:val="19"/>
          <w:szCs w:val="19"/>
        </w:rPr>
        <w:t xml:space="preserve">RN  |  BCur HMN  |  BTech General Nursing  |  PGDip Health Services Management (NQF 8)</w:t>
      </w:r>
    </w:p>
    <w:p>
      <w:pPr>
        <w:spacing w:before="0" w:after="60"/>
      </w:pPr>
    </w:p>
    <w:p>
      <w:pPr>
        <w:pBdr>
          <w:bottom w:val="single" w:color="C8942A" w:sz="6"/>
        </w:pBdr>
        <w:spacing w:before="0" w:after="0"/>
      </w:pPr>
    </w:p>
    <w:p>
      <w:pPr>
        <w:spacing w:before="0" w:after="40"/>
      </w:pPr>
    </w:p>
    <w:p>
      <w:r>
        <w:rPr>
          <w:rFonts w:ascii="Arial" w:cs="Arial" w:eastAsia="Arial" w:hAnsi="Arial"/>
          <w:color w:val="1B7A78"/>
          <w:sz w:val="18"/>
          <w:szCs w:val="18"/>
        </w:rPr>
        <w:t xml:space="preserve">info@ethichawks.co.za  |  wilburmat@gmail.com  |  Tel: 069 635 1435  |  www.ethichawks.co.za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2026-03-19T12:17:05.629Z</dcterms:created>
  <dcterms:modified xsi:type="dcterms:W3CDTF">2026-03-19T12:17:05.630Z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