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cs="Times New Roman" w:eastAsia="Times New Roman" w:hAnsi="Times New Roman"/>
          <w:b/>
          <w:bCs/>
          <w:sz w:val="24"/>
          <w:szCs w:val="24"/>
        </w:rPr>
        <w:t xml:space="preserve">IN THE LABOUR COURT OF SOUTH AFRICA, CAPE TOWN</w:t>
      </w:r>
    </w:p>
    <w:p>
      <w:pPr>
        <w:spacing w:line="360" w:lineRule="auto"/>
        <w:jc w:val="center"/>
      </w:pPr>
      <w:r>
        <w:rPr>
          <w:rFonts w:ascii="Times New Roman" w:cs="Times New Roman" w:eastAsia="Times New Roman" w:hAnsi="Times New Roman"/>
          <w:b w:val="false"/>
          <w:bCs w:val="false"/>
          <w:sz w:val="24"/>
          <w:szCs w:val="24"/>
        </w:rPr>
        <w:t xml:space="preserve">(Held at Cape Town)</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CASE NO: _______________________________ (to be allocated)</w:t>
      </w:r>
    </w:p>
    <w:p>
      <w:pPr>
        <w:spacing w:line="360" w:lineRule="auto"/>
      </w:pPr>
      <w:r>
        <w:rPr>
          <w:rFonts w:ascii="Times New Roman" w:cs="Times New Roman" w:eastAsia="Times New Roman" w:hAnsi="Times New Roman"/>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448"/>
        <w:gridCol w:w="3339"/>
      </w:tblGrid>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In the matter between:</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WILBUR WILLIAM MATTHEE</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Applicant</w:t>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and</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AFROCENTRIC HEALTH (RF) (PTY) LTD</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First Respondent</w:t>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(Registration Number: 1996/009540/07)</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and</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MEDSCHEME HOLDINGS (PTY) LTD</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Second Respondent</w:t>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(Registration Number: 1970/015014/07)</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and</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MARY-ANN JONES</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Third Respondent</w:t>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(Registered Nurse / Team Leader, Second Respondent)</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and</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MAPULE MASHELE</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Fourth Respondent</w:t>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(Registered Nurse / Senior Manager, Second Respondent)</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and</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LISA MARI</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bCs/>
                <w:sz w:val="24"/>
                <w:szCs w:val="24"/>
              </w:rPr>
              <w:t xml:space="preserve">Fifth Respondent</w:t>
            </w:r>
          </w:p>
        </w:tc>
      </w:tr>
      <w:tr>
        <w:tc>
          <w:tcPr>
            <w:tcW w:type="dxa" w:w="544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(Responsible Pharmacist, Second Respondent)</w:t>
            </w:r>
          </w:p>
        </w:tc>
        <w:tc>
          <w:tcPr>
            <w:tcW w:type="dxa" w:w="3339"/>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line="360" w:lineRule="auto"/>
            </w:pPr>
            <w:r>
              <w:rPr>
                <w:rFonts w:ascii="Times New Roman" w:cs="Times New Roman" w:eastAsia="Times New Roman" w:hAnsi="Times New Roman"/>
                <w:b w:val="false"/>
                <w:bCs w:val="false"/>
                <w:sz w:val="24"/>
                <w:szCs w:val="24"/>
              </w:rPr>
              <w:t xml:space="preserve"/>
            </w:r>
          </w:p>
        </w:tc>
      </w:tr>
    </w:tbl>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sz w:val="24"/>
          <w:szCs w:val="24"/>
        </w:rPr>
        <w:t xml:space="preserve">───────────────────────────────────────────────────────</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STATEMENT OF CLAIM</w:t>
      </w:r>
    </w:p>
    <w:p>
      <w:pPr>
        <w:spacing w:line="360" w:lineRule="auto"/>
        <w:jc w:val="center"/>
      </w:pPr>
      <w:r>
        <w:rPr>
          <w:rFonts w:ascii="Times New Roman" w:cs="Times New Roman" w:eastAsia="Times New Roman" w:hAnsi="Times New Roman"/>
          <w:sz w:val="24"/>
          <w:szCs w:val="24"/>
        </w:rPr>
        <w:t xml:space="preserve">(Rule 6 of the Rules for the Conduct of Proceedings before the Labour Court,</w:t>
      </w:r>
    </w:p>
    <w:p>
      <w:pPr>
        <w:spacing w:line="360" w:lineRule="auto"/>
        <w:jc w:val="center"/>
      </w:pPr>
      <w:r>
        <w:rPr>
          <w:rFonts w:ascii="Times New Roman" w:cs="Times New Roman" w:eastAsia="Times New Roman" w:hAnsi="Times New Roman"/>
          <w:sz w:val="24"/>
          <w:szCs w:val="24"/>
        </w:rPr>
        <w:t xml:space="preserve">GN 1665 of 14 October 2011, as amended)</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sz w:val="24"/>
          <w:szCs w:val="24"/>
        </w:rPr>
        <w:t xml:space="preserve">───────────────────────────────────────────────────────</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PRELIMINARY NOTE TO THE REGISTRAR AND RESPONDENTS</w:t>
      </w:r>
    </w:p>
    <w:p>
      <w:pPr>
        <w:spacing w:line="360" w:lineRule="auto"/>
        <w:ind w:left="720"/>
      </w:pPr>
      <w:r>
        <w:rPr>
          <w:rFonts w:ascii="Times New Roman" w:cs="Times New Roman" w:eastAsia="Times New Roman" w:hAnsi="Times New Roman"/>
          <w:sz w:val="24"/>
          <w:szCs w:val="24"/>
        </w:rPr>
        <w:t xml:space="preserve">The Applicant is a self-represented litigant. This Statement of Claim is filed pursuant to Rule 6 of the Rules for the Conduct of Proceedings before the Labour Court following the issuing of Certificates of Non-Resolution by the CCMA (Case Nos. WECT23564-25 and WECT24486-25) on 9 January 2026. The Applicant respectfully requests that the Registrar and the Court apply the principle of equality of arms and afford the Applicant reasonable procedural latitude consistent with his self-represented status.</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A: JURISDICTION AND REFERRAL BASIS</w:t>
      </w:r>
    </w:p>
    <w:p>
      <w:pPr>
        <w:tabs>
          <w:tab w:val="left" w:pos="720"/>
        </w:tabs>
        <w:spacing w:line="360" w:lineRule="auto"/>
        <w:ind w:left="720" w:hanging="360"/>
      </w:pPr>
      <w:r>
        <w:rPr>
          <w:rFonts w:ascii="Times New Roman" w:cs="Times New Roman" w:eastAsia="Times New Roman" w:hAnsi="Times New Roman"/>
          <w:sz w:val="24"/>
          <w:szCs w:val="24"/>
        </w:rPr>
        <w:t xml:space="preserve">1.	This Court has jurisdiction to adjudicate this dispute in terms of section 157(1) of the Labour Relations Act 66 of 1995 ("the LRA"), which confers exclusive jurisdiction on the Labour Court in respect of any matter that the LRA requires to be determined by the Court.</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360"/>
      </w:pPr>
      <w:r>
        <w:rPr>
          <w:rFonts w:ascii="Times New Roman" w:cs="Times New Roman" w:eastAsia="Times New Roman" w:hAnsi="Times New Roman"/>
          <w:sz w:val="24"/>
          <w:szCs w:val="24"/>
        </w:rPr>
        <w:t xml:space="preserve">2.	The Applicant referred two disputes to the Commission for Conciliation, Mediation and Arbitration ("CCMA"):</w:t>
      </w:r>
    </w:p>
    <w:p>
      <w:pPr>
        <w:spacing w:line="360" w:lineRule="auto"/>
        <w:ind w:left="1440"/>
      </w:pPr>
      <w:r>
        <w:rPr>
          <w:rFonts w:ascii="Times New Roman" w:cs="Times New Roman" w:eastAsia="Times New Roman" w:hAnsi="Times New Roman"/>
          <w:sz w:val="24"/>
          <w:szCs w:val="24"/>
        </w:rPr>
        <w:t xml:space="preserve">(a)	Case WECT23564-25: Unfair Labour Practice — unlawful salary deduction, discrimination, and victimisation; and</w:t>
      </w:r>
    </w:p>
    <w:p>
      <w:pPr>
        <w:spacing w:line="360" w:lineRule="auto"/>
        <w:ind w:left="1440"/>
      </w:pPr>
      <w:r>
        <w:rPr>
          <w:rFonts w:ascii="Times New Roman" w:cs="Times New Roman" w:eastAsia="Times New Roman" w:hAnsi="Times New Roman"/>
          <w:sz w:val="24"/>
          <w:szCs w:val="24"/>
        </w:rPr>
        <w:t xml:space="preserve">(b)	Case WECT24486-25: Automatically Unfair Constructive Dismissal — retaliation for protected disclosures.</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Conciliation was held on 9 January 2026. Certificates of Non-Resolution were issued on the same day (Annexure "Y"). The CCMA further confirmed, by letter from the Provincial Senior Commissioner dated 28 January 2026, that it lacks jurisdiction to arbitrate automatically unfair dismissal disputes and protected disclosure retaliation disputes, directing the Applicant to the Labour Court.</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This Statement of Claim is filed within the 90-day period prescribed by section 191(11)(a)(i) of the LRA, calculated from 9 January 2026 (date of issue of the Certificates of Non-Resolution). The filing deadline is on or before 9 April 2026. This claim is accordingly timeously filed.</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5.	Additionally, in respect of the claim for automatically unfair dismissal under section 187(1)(h) of the LRA (protected disclosure retaliation), no period of prescription applies in terms of section 77(3) of the BCEA, read with section 16 of the Prescription Act 68 of 1969, as the cause of action arose from a continuing wrong that concluded upon the Applicant's resignation on 12 December 2025.</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6.	A further claim under section 77A of the BCEA for the unlawful salary deduction has been filed separately with this Court as Case No. 2026-077546 (Matthee v AfroCentric Health (RF) (Pty) Ltd). The Applicant requests that the Court consider consolidating the two matters in the interest of justice and procedural efficiency, alternatively notes the BCEA claim as a concurrent proceeding.</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B: THE PARTIES</w:t>
      </w:r>
    </w:p>
    <w:p>
      <w:pPr>
        <w:spacing w:line="360" w:lineRule="auto"/>
        <w:ind w:left="720"/>
      </w:pPr>
      <w:r>
        <w:rPr>
          <w:rFonts w:ascii="Times New Roman" w:cs="Times New Roman" w:eastAsia="Times New Roman" w:hAnsi="Times New Roman"/>
          <w:sz w:val="24"/>
          <w:szCs w:val="24"/>
        </w:rPr>
        <w:t xml:space="preserve">1.	The Applicant is Wilbur William Matthee, an adult male, a Registered Nurse (SANC No. 15831886), holding an NQF Level 8 Postgraduate Diploma in Health Services Management. He is a self-represented litigant residing in Cape Town, Western Cape. As a direct and proximate result of the Respondents' conduct, the Applicant is currently rendered destitute and unable to pay his SANC annual registration fee, and accordingly unable to practise as a registered nurse.</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The First Respondent, AfroCentric Health (RF) (Pty) Ltd (Registration No. 1996/009540/07), is a private company incorporated and registered in South Africa, with its principal place of business at 37 Conrad Street, Florida North, Roodepoort, Gauteng. It is the holding company of the Second Respondent.</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The Second Respondent, Medscheme Holdings (Pty) Ltd (Registration No. 1970/015014/07), is a wholly-owned subsidiary of the First Respondent and was the Applicant's direct employer at all material times. It is an accredited administrator of medical schemes registered under the Medical Schemes Act 131 of 1998, including the Government Employees Medical Scheme ("GEMS").</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The Third Respondent, Mary-Ann Jones, is an adult female Registered Nurse employed by the Second Respondent as Team Leader: GEMS Active Disease Risk Management ("ADRM"). She was the Applicant's direct line manager at all material times and is cited in her personal capacity. All acts and omissions attributed to her were committed in the course and scope of her employment with the Second Respondent, for which the Second Respondent is vicariously liable.</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5.	The Fourth Respondent, Mapule Mashele, is an adult female Registered Nurse employed by the Second Respondent as Senior Manager: ADRM. She is cited in her personal capacity for her role in the inadequate investigation of the discrimination complaint and her handling of the Applicant's medical disability disclosure. The Second Respondent is vicariously liable for her acts.</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6.	The Fifth Respondent, Lisa Mari, is an adult female Responsible Pharmacist employed by the Second Respondent. She is cited in her personal capacity for her failure to act on the Applicant's protected disclosure regarding the Gexus/DMS integration failure endangering patient safety. The Second Respondent is vicariously liable for her acts.</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C: THE EMPLOYMENT RELATIONSHIP AND THE BAIT-AND-SWITCH</w:t>
      </w:r>
    </w:p>
    <w:p>
      <w:pPr>
        <w:spacing w:line="360" w:lineRule="auto"/>
        <w:ind w:left="720"/>
      </w:pPr>
      <w:r>
        <w:rPr>
          <w:rFonts w:ascii="Times New Roman" w:cs="Times New Roman" w:eastAsia="Times New Roman" w:hAnsi="Times New Roman"/>
          <w:sz w:val="24"/>
          <w:szCs w:val="24"/>
        </w:rPr>
        <w:t xml:space="preserve">1.	With effect from 1 May 2024, the Applicant entered into a contract of employment with the Second Respondent in Cape Town, Western Cape.</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In January 2024, the Applicant was recruited by the Second Respondent for the position of "Specialist: Care Manager". He received three separate interview invitations in January 2024 (Annexure "A"), completed an assessment on 29 January 2024 (Annexure "B"), and underwent a fingerprint criminal check on 21 February 2024 (Annexure "C"). All recruitment documentation described the position as a Specialist role.</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However, the contract presented to the Applicant for signature on 9 April 2024 downgraded his position to "Care Coordinator" (Grade B4M1) at a cost-to-company of R490,032 per annum — without any prior notification of the change in designation (Annexure "D").</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This deliberate act of title suppression constituted a "bait-and-switch": the Applicant was recruited and utilised as an NQF Level 8 Specialist but was officially designated as a junior "Care Coordinator" to:</w:t>
      </w:r>
    </w:p>
    <w:p>
      <w:pPr>
        <w:spacing w:line="360" w:lineRule="auto"/>
        <w:ind w:left="1440"/>
      </w:pPr>
      <w:r>
        <w:rPr>
          <w:rFonts w:ascii="Times New Roman" w:cs="Times New Roman" w:eastAsia="Times New Roman" w:hAnsi="Times New Roman"/>
          <w:sz w:val="24"/>
          <w:szCs w:val="24"/>
        </w:rPr>
        <w:t xml:space="preserve">(a)	avoid paying a remuneration package commensurate with a Specialist;</w:t>
      </w:r>
    </w:p>
    <w:p>
      <w:pPr>
        <w:spacing w:line="360" w:lineRule="auto"/>
        <w:ind w:left="1440"/>
      </w:pPr>
      <w:r>
        <w:rPr>
          <w:rFonts w:ascii="Times New Roman" w:cs="Times New Roman" w:eastAsia="Times New Roman" w:hAnsi="Times New Roman"/>
          <w:sz w:val="24"/>
          <w:szCs w:val="24"/>
        </w:rPr>
        <w:t xml:space="preserve">(b)	suppress his management status in employment records, certificates of service, and UIF declarations; and</w:t>
      </w:r>
    </w:p>
    <w:p>
      <w:pPr>
        <w:spacing w:line="360" w:lineRule="auto"/>
        <w:ind w:left="1440"/>
      </w:pPr>
      <w:r>
        <w:rPr>
          <w:rFonts w:ascii="Times New Roman" w:cs="Times New Roman" w:eastAsia="Times New Roman" w:hAnsi="Times New Roman"/>
          <w:sz w:val="24"/>
          <w:szCs w:val="24"/>
        </w:rPr>
        <w:t xml:space="preserve">(c)	facilitate potential B-BBEE fronting, in respect of which the B-BBEE Commission has allocated Case No. 5/02/2026.</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5.	In support of the assertion that the Applicant performed Specialist-level functions, it is noted that during his employment he was appointed as Acting Chairperson of the Employee Health and Safety (EHS) Committee and as Lead First Aider for the 2nd, 3rd and 4th floors of the Second Respondent's premises. On 25 July 2025, the Applicant drafted and implemented a First Aider roster covering all three floors and issued directives to team leaders regarding occupational health and safety compliance — functions that no "Care Coordinator" would perform (Annexure "E"). These responsibilities constitute operational management control and confirm that his true role was that of a Health Services Management Specialist (NQF Level 8).</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6.	The Senior HR Business Partner, Cheryl-Dawn Modern, confirmed in writing on 19 January 2026 that the "naming convention changes [were] still in progress" — an admission that the Applicant's designation had not been updated to reflect his true role. This constitutes an admission that the Certificate of Service is inaccurate.</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D: MENTAL HEALTH DISCLOSURE AND FAILURE TO ACCOMMODATE</w:t>
      </w:r>
    </w:p>
    <w:p>
      <w:pPr>
        <w:spacing w:line="360" w:lineRule="auto"/>
        <w:ind w:left="720"/>
      </w:pPr>
      <w:r>
        <w:rPr>
          <w:rFonts w:ascii="Times New Roman" w:cs="Times New Roman" w:eastAsia="Times New Roman" w:hAnsi="Times New Roman"/>
          <w:sz w:val="24"/>
          <w:szCs w:val="24"/>
        </w:rPr>
        <w:t xml:space="preserve">1.	From 18 March 2025, the Applicant was admitted as an inpatient at Akeso Stepping Stones Clinic for severe depression and post-traumatic stress disorder ("PTSD"). A sick note issued by his treating psychiatrist, Dr Jacques Malan, is attached as Annexure "F".</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On 16 May 2025, the Applicant provided Dr Malan's psychiatric letter to the Fourth Respondent, Mapule Mashele, placing the Second Respondent on formal written notice of his disability within the meaning of section 1 of the EEA and his need for reasonable accommodation (Annexure "G").</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Notwithstanding this formal notification, the Third Respondent, Mary-Ann Jones, failed to provide reasonable accommodation. Specifically:</w:t>
      </w:r>
    </w:p>
    <w:p>
      <w:pPr>
        <w:spacing w:line="360" w:lineRule="auto"/>
        <w:ind w:left="1440"/>
      </w:pPr>
      <w:r>
        <w:rPr>
          <w:rFonts w:ascii="Times New Roman" w:cs="Times New Roman" w:eastAsia="Times New Roman" w:hAnsi="Times New Roman"/>
          <w:sz w:val="24"/>
          <w:szCs w:val="24"/>
        </w:rPr>
        <w:t xml:space="preserve">(a)	On 16 April 2025, Jones stated in writing: "we do not apply staggering of money owed" — a position the Second Respondent later deployed to justify the unlawful deduction (Annexure "H");</w:t>
      </w:r>
    </w:p>
    <w:p>
      <w:pPr>
        <w:spacing w:line="360" w:lineRule="auto"/>
        <w:ind w:left="1440"/>
      </w:pPr>
      <w:r>
        <w:rPr>
          <w:rFonts w:ascii="Times New Roman" w:cs="Times New Roman" w:eastAsia="Times New Roman" w:hAnsi="Times New Roman"/>
          <w:sz w:val="24"/>
          <w:szCs w:val="24"/>
        </w:rPr>
        <w:t xml:space="preserve">(b)	On 7 May 2025, the Applicant requested staggering of unpaid leave deductions; Jones declined; and</w:t>
      </w:r>
    </w:p>
    <w:p>
      <w:pPr>
        <w:spacing w:line="360" w:lineRule="auto"/>
        <w:ind w:left="1440"/>
      </w:pPr>
      <w:r>
        <w:rPr>
          <w:rFonts w:ascii="Times New Roman" w:cs="Times New Roman" w:eastAsia="Times New Roman" w:hAnsi="Times New Roman"/>
          <w:sz w:val="24"/>
          <w:szCs w:val="24"/>
        </w:rPr>
        <w:t xml:space="preserve">(c)	On 20–21 May 2025, the Applicant suffered a medical crisis and was required to leave the workplace to obtain medication; Jones instructed him to log unpaid leave, thereby applying a punitive response to a medical emergency.</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The Respondents' failure to provide reasonable accommodation to an employee with a documented disability, of which they had formal written notice, constitutes:</w:t>
      </w:r>
    </w:p>
    <w:p>
      <w:pPr>
        <w:spacing w:line="360" w:lineRule="auto"/>
        <w:ind w:left="1440"/>
      </w:pPr>
      <w:r>
        <w:rPr>
          <w:rFonts w:ascii="Times New Roman" w:cs="Times New Roman" w:eastAsia="Times New Roman" w:hAnsi="Times New Roman"/>
          <w:sz w:val="24"/>
          <w:szCs w:val="24"/>
        </w:rPr>
        <w:t xml:space="preserve">(a)	unfair discrimination on the ground of disability in terms of section 6(1) of the EEA, read with section 7(b)(iii) of the Code of Good Practice on the Employment of Persons with Disabilities; and</w:t>
      </w:r>
    </w:p>
    <w:p>
      <w:pPr>
        <w:spacing w:line="360" w:lineRule="auto"/>
        <w:ind w:left="1440"/>
      </w:pPr>
      <w:r>
        <w:rPr>
          <w:rFonts w:ascii="Times New Roman" w:cs="Times New Roman" w:eastAsia="Times New Roman" w:hAnsi="Times New Roman"/>
          <w:sz w:val="24"/>
          <w:szCs w:val="24"/>
        </w:rPr>
        <w:t xml:space="preserve">(b)	a failure to comply with the duty to take all reasonable steps to prevent unfair discrimination under section 60 of the EEA.</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E: THE UNLAWFUL SALARY DEDUCTION — BCEA SECTION 34(2)</w:t>
      </w:r>
    </w:p>
    <w:p>
      <w:pPr>
        <w:spacing w:line="360" w:lineRule="auto"/>
        <w:ind w:left="720"/>
      </w:pPr>
      <w:r>
        <w:rPr>
          <w:rFonts w:ascii="Times New Roman" w:cs="Times New Roman" w:eastAsia="Times New Roman" w:hAnsi="Times New Roman"/>
          <w:sz w:val="24"/>
          <w:szCs w:val="24"/>
        </w:rPr>
        <w:t xml:space="preserve">1.	In July 2025, while the Applicant was between psychiatric admissions and while the Respondents were in possession of Dr Malan's letter confirming his medical vulnerability and need for accommodation, the Second Respondent deducted the sum of R14,811.77 (representing 40.47% of his gross monthly salary) in a single pay cycle, leaving him with a net pay of R15,679.29. The payslip is attached as Annexure "I".</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This deduction was made:</w:t>
      </w:r>
    </w:p>
    <w:p>
      <w:pPr>
        <w:spacing w:line="360" w:lineRule="auto"/>
        <w:ind w:left="1440"/>
      </w:pPr>
      <w:r>
        <w:rPr>
          <w:rFonts w:ascii="Times New Roman" w:cs="Times New Roman" w:eastAsia="Times New Roman" w:hAnsi="Times New Roman"/>
          <w:sz w:val="24"/>
          <w:szCs w:val="24"/>
        </w:rPr>
        <w:t xml:space="preserve">(a)	without any prior written agreement or written consent as required by section 34(1) of the BCEA;</w:t>
      </w:r>
    </w:p>
    <w:p>
      <w:pPr>
        <w:spacing w:line="360" w:lineRule="auto"/>
        <w:ind w:left="1440"/>
      </w:pPr>
      <w:r>
        <w:rPr>
          <w:rFonts w:ascii="Times New Roman" w:cs="Times New Roman" w:eastAsia="Times New Roman" w:hAnsi="Times New Roman"/>
          <w:sz w:val="24"/>
          <w:szCs w:val="24"/>
        </w:rPr>
        <w:t xml:space="preserve">(b)	in excess of the 25% cap imposed by section 34(2) of the BCEA;</w:t>
      </w:r>
    </w:p>
    <w:p>
      <w:pPr>
        <w:spacing w:line="360" w:lineRule="auto"/>
        <w:ind w:left="1440"/>
      </w:pPr>
      <w:r>
        <w:rPr>
          <w:rFonts w:ascii="Times New Roman" w:cs="Times New Roman" w:eastAsia="Times New Roman" w:hAnsi="Times New Roman"/>
          <w:sz w:val="24"/>
          <w:szCs w:val="24"/>
        </w:rPr>
        <w:t xml:space="preserve">(c)	without any prior consultation with the Applicant, despite his express earlier request for staggering; and</w:t>
      </w:r>
    </w:p>
    <w:p>
      <w:pPr>
        <w:spacing w:line="360" w:lineRule="auto"/>
        <w:ind w:left="1440"/>
      </w:pPr>
      <w:r>
        <w:rPr>
          <w:rFonts w:ascii="Times New Roman" w:cs="Times New Roman" w:eastAsia="Times New Roman" w:hAnsi="Times New Roman"/>
          <w:sz w:val="24"/>
          <w:szCs w:val="24"/>
        </w:rPr>
        <w:t xml:space="preserve">(d)	in breach of the Second Respondent's own HCBP Policy, which also imposes a 25% cap and requires prior consultation.</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On 24 July 2025, the Third Respondent, Jones, shared the AOD Policy confirming: "monthly deductions must not be more than 25% of the employees CTC as per legislation" (Annexure "J"). When the Applicant pointed out that the deduction was therefore illegal, Jones replied: "Hi Wilbur, what is illegal?" — feigning ignorance of the very statutory cap she had just confirmed. This exchange constitutes direct evidence that the Second Respondent was aware of the legal prohibition and proceeded regardless.</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The deduction contravenes section 34(2) of the BCEA. The Applicant is accordingly entitled to recover R14,811.77 together with interest at the prescribed rate from 23 July 2025 to date of payment in terms of section 77A of the BCEA. The Applicant notes that a separate civil claim for this amount has been filed in this Court as Case No. 2026-077546.</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F: GENDER IDENTITY DISCRIMINATION — THE 'WILMA' INCIDENT</w:t>
      </w:r>
    </w:p>
    <w:p>
      <w:pPr>
        <w:spacing w:line="360" w:lineRule="auto"/>
        <w:ind w:left="720"/>
      </w:pPr>
      <w:r>
        <w:rPr>
          <w:rFonts w:ascii="Times New Roman" w:cs="Times New Roman" w:eastAsia="Times New Roman" w:hAnsi="Times New Roman"/>
          <w:sz w:val="24"/>
          <w:szCs w:val="24"/>
        </w:rPr>
        <w:t xml:space="preserve">1.	On 23 September 2025, immediately after the Applicant proposed a clinical filtering strategy to improve the operational management of member adherence cases, the Third Respondent, Jones, posted a message in a team-wide Microsoft Teams channel in which she:</w:t>
      </w:r>
    </w:p>
    <w:p>
      <w:pPr>
        <w:spacing w:line="360" w:lineRule="auto"/>
        <w:ind w:left="1440"/>
      </w:pPr>
      <w:r>
        <w:rPr>
          <w:rFonts w:ascii="Times New Roman" w:cs="Times New Roman" w:eastAsia="Times New Roman" w:hAnsi="Times New Roman"/>
          <w:sz w:val="24"/>
          <w:szCs w:val="24"/>
        </w:rPr>
        <w:t xml:space="preserve">(a)	referred to the Applicant as "Wilma" — a feminised version of his name, knowing the Applicant is gay; and</w:t>
      </w:r>
    </w:p>
    <w:p>
      <w:pPr>
        <w:spacing w:line="360" w:lineRule="auto"/>
        <w:ind w:left="1440"/>
      </w:pPr>
      <w:r>
        <w:rPr>
          <w:rFonts w:ascii="Times New Roman" w:cs="Times New Roman" w:eastAsia="Times New Roman" w:hAnsi="Times New Roman"/>
          <w:sz w:val="24"/>
          <w:szCs w:val="24"/>
        </w:rPr>
        <w:t xml:space="preserve">(b)	in the same message, prohibited the Applicant's filtering strategy with "NO FILTERING" highlighted in red.</w:t>
      </w:r>
    </w:p>
    <w:p>
      <w:pPr>
        <w:spacing w:line="360" w:lineRule="auto"/>
        <w:ind w:left="720"/>
      </w:pPr>
      <w:r>
        <w:rPr>
          <w:rFonts w:ascii="Times New Roman" w:cs="Times New Roman" w:eastAsia="Times New Roman" w:hAnsi="Times New Roman"/>
          <w:sz w:val="24"/>
          <w:szCs w:val="24"/>
        </w:rPr>
        <w:t xml:space="preserve">A copy of this Teams message is attached as Annexure "K".</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The temporal and contextual nexus between the Applicant's clinical proposal and Jones's response is direct: the feminisation of his name and the simultaneous rejection of his strategy in a team-wide communication constitutes harassment on the grounds of gender identity and sexual orientation within the meaning of section 6(3) of the EEA, read with clause 3.6 of the Code of Good Practice on the Handling of Sexual Harassment Cases in the Workplace.</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On 25 September 2025, the Applicant lodged a formal complaint of sexual orientation discrimination and harassment with Human Resources, requesting: a neutral investigator; that he not be required to meet with the accused manager; that Jones be suspended pending investigation; and that he be removed from Jones's reporting line (Annexure "L").</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HR's response was inadequate:</w:t>
      </w:r>
    </w:p>
    <w:p>
      <w:pPr>
        <w:spacing w:line="360" w:lineRule="auto"/>
        <w:ind w:left="1440"/>
      </w:pPr>
      <w:r>
        <w:rPr>
          <w:rFonts w:ascii="Times New Roman" w:cs="Times New Roman" w:eastAsia="Times New Roman" w:hAnsi="Times New Roman"/>
          <w:sz w:val="24"/>
          <w:szCs w:val="24"/>
        </w:rPr>
        <w:t xml:space="preserve">(a)	The Applicant was told he would not be required to meet Jones, but he was never removed from her reporting line — leaving him directly exposed to further retaliation;</w:t>
      </w:r>
    </w:p>
    <w:p>
      <w:pPr>
        <w:spacing w:line="360" w:lineRule="auto"/>
        <w:ind w:left="1440"/>
      </w:pPr>
      <w:r>
        <w:rPr>
          <w:rFonts w:ascii="Times New Roman" w:cs="Times New Roman" w:eastAsia="Times New Roman" w:hAnsi="Times New Roman"/>
          <w:sz w:val="24"/>
          <w:szCs w:val="24"/>
        </w:rPr>
        <w:t xml:space="preserve">(b)	On 29 September 2025 — the same day the formal complaint was filed — Jones loaded a double punitive unpaid leave entry against the Applicant. The Fourth Respondent reversed the entry on 1 October 2025, confirming that it was discretionary and retaliatory; and</w:t>
      </w:r>
    </w:p>
    <w:p>
      <w:pPr>
        <w:spacing w:line="360" w:lineRule="auto"/>
        <w:ind w:left="1440"/>
      </w:pPr>
      <w:r>
        <w:rPr>
          <w:rFonts w:ascii="Times New Roman" w:cs="Times New Roman" w:eastAsia="Times New Roman" w:hAnsi="Times New Roman"/>
          <w:sz w:val="24"/>
          <w:szCs w:val="24"/>
        </w:rPr>
        <w:t xml:space="preserve">(c)	On 1 October 2025, the Fourth Respondent closed the investigation, concluding that Jones's "Wilma" was a "typo" — a plainly inadequate finding that ignored the Applicant's May 2025 disclosure of Jones's hostile conduct, the immediate context (clinical proposal being simultaneously rejected), and the team-wide visibility of the message. The closure report is attached as Annexure "M".</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5.	The Respondents' failure to take reasonable steps to prevent and address the harassment constitutes a contravention of section 60 of the EEA. The discriminatory conduct and the whitewash investigation constitute unfair discrimination in terms of section 6(1) of the EEA on the grounds of sexual orientation and/or gender identity.</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G: PROTECTED DISCLOSURE — PATIENT SAFETY (GEXUS/DMS INTEGRATION GAP)</w:t>
      </w:r>
    </w:p>
    <w:p>
      <w:pPr>
        <w:spacing w:line="360" w:lineRule="auto"/>
        <w:ind w:left="720"/>
      </w:pPr>
      <w:r>
        <w:rPr>
          <w:rFonts w:ascii="Times New Roman" w:cs="Times New Roman" w:eastAsia="Times New Roman" w:hAnsi="Times New Roman"/>
          <w:sz w:val="24"/>
          <w:szCs w:val="24"/>
        </w:rPr>
        <w:t xml:space="preserve">1.	On 23 October 2025, the Applicant made a protected disclosure to the Third Respondent, Jones, copied to the Fifth Respondent (Lisa Mari, Responsible Pharmacist), identifying a systemic structural integration gap between the Gexus and DMS platforms that was generating false non-adherence letters to GEMS members, including a 75-year-old dependent (Annexure "N").</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The disclosure constitutes a protected disclosure within the meaning of section 1 of the PDA in that it related to:</w:t>
      </w:r>
    </w:p>
    <w:p>
      <w:pPr>
        <w:spacing w:line="360" w:lineRule="auto"/>
        <w:ind w:left="1440"/>
      </w:pPr>
      <w:r>
        <w:rPr>
          <w:rFonts w:ascii="Times New Roman" w:cs="Times New Roman" w:eastAsia="Times New Roman" w:hAnsi="Times New Roman"/>
          <w:sz w:val="24"/>
          <w:szCs w:val="24"/>
        </w:rPr>
        <w:t xml:space="preserve">(a)	a failure to comply with a legal obligation, namely the Responsible Pharmacist's obligation under section 49 of the Pharmacy Act 53 of 1974 to ensure the integrity of pharmaceutical care communications; and</w:t>
      </w:r>
    </w:p>
    <w:p>
      <w:pPr>
        <w:spacing w:line="360" w:lineRule="auto"/>
        <w:ind w:left="1440"/>
      </w:pPr>
      <w:r>
        <w:rPr>
          <w:rFonts w:ascii="Times New Roman" w:cs="Times New Roman" w:eastAsia="Times New Roman" w:hAnsi="Times New Roman"/>
          <w:sz w:val="24"/>
          <w:szCs w:val="24"/>
        </w:rPr>
        <w:t xml:space="preserve">(b)	conduct likely to endanger the health or safety of any individual, namely GEMS members receiving clinically incorrect adherence assessments.</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The Applicant's root cause analysis confirmed that the integration gap was structural — not an isolated error — affecting any member transitioning between benefit categories. He stated: "Given that the integration gap still exists, I will not contact the member at this time." Jones responded: "The below is noted. I am not in agreement with your feedback though." The Fifth Respondent, as Responsible Pharmacist, did not intervene to correct the system error.</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The Applicant was subsequently:</w:t>
      </w:r>
    </w:p>
    <w:p>
      <w:pPr>
        <w:spacing w:line="360" w:lineRule="auto"/>
        <w:ind w:left="1440"/>
      </w:pPr>
      <w:r>
        <w:rPr>
          <w:rFonts w:ascii="Times New Roman" w:cs="Times New Roman" w:eastAsia="Times New Roman" w:hAnsi="Times New Roman"/>
          <w:sz w:val="24"/>
          <w:szCs w:val="24"/>
        </w:rPr>
        <w:t xml:space="preserve">(a)	labelled as "insubordinate" for declining to contact a vulnerable patient on clinically incorrect grounds;</w:t>
      </w:r>
    </w:p>
    <w:p>
      <w:pPr>
        <w:spacing w:line="360" w:lineRule="auto"/>
        <w:ind w:left="1440"/>
      </w:pPr>
      <w:r>
        <w:rPr>
          <w:rFonts w:ascii="Times New Roman" w:cs="Times New Roman" w:eastAsia="Times New Roman" w:hAnsi="Times New Roman"/>
          <w:sz w:val="24"/>
          <w:szCs w:val="24"/>
        </w:rPr>
        <w:t xml:space="preserve">(b)	excluded from the resolution process for the integration error he had identified; and</w:t>
      </w:r>
    </w:p>
    <w:p>
      <w:pPr>
        <w:spacing w:line="360" w:lineRule="auto"/>
        <w:ind w:left="1440"/>
      </w:pPr>
      <w:r>
        <w:rPr>
          <w:rFonts w:ascii="Times New Roman" w:cs="Times New Roman" w:eastAsia="Times New Roman" w:hAnsi="Times New Roman"/>
          <w:sz w:val="24"/>
          <w:szCs w:val="24"/>
        </w:rPr>
        <w:t xml:space="preserve">(c)	compelled by Jones to issue a forced apology on 23 October 2025 for "poor communication and failure to comply" — an apology extracted under constructive duress for a legitimate patient safety disclosure.</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5.	The Applicant's disclosure, and the adverse treatment that followed it, engage both section 3 of the PDA (prohibition on occupational detriment for making a protected disclosure) and section 187(1)(h) of the LRA (automatically unfair dismissal where the reason for dismissal is the making of a protected disclosure).</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H: MISAPPROPRIATION OF THE APPLICANT'S INDEPENDENTLY DESIGNED CPD PROGRAMME</w:t>
      </w:r>
    </w:p>
    <w:p>
      <w:pPr>
        <w:spacing w:line="360" w:lineRule="auto"/>
        <w:ind w:left="720"/>
      </w:pPr>
      <w:r>
        <w:rPr>
          <w:rFonts w:ascii="Times New Roman" w:cs="Times New Roman" w:eastAsia="Times New Roman" w:hAnsi="Times New Roman"/>
          <w:sz w:val="24"/>
          <w:szCs w:val="24"/>
        </w:rPr>
        <w:t xml:space="preserve">1.	In or about April 2025, the Applicant independently designed and developed a continuing professional development programme ("the CPD Programme") for case managers within the ADRM environment. The CPD Programme was the Applicant's original intellectual work product, conceived and created independently of, and outside the scope of, his contracted employment duties as a Care Manager.</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The Applicant submitted the CPD Programme to the Third Respondent, Jones, and to the Second Respondent's operational management for adoption by the department. The CPD Programme was expressly declined by Jones and operational management without substantive reasons being given. The submission, the identity of the reviewing managers, and the rejection are evidenced by Annexure "N1".</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In October 2025 — during the same period in which the Respondents were retaliating against the Applicant for his protected disclosures — a continuing professional development programme materially identical in structure, content, and methodology to the CPD Programme was implemented across the ADRM department by the Second Respondent's management. The programme was presented as the Respondents' own work. The Applicant was given no credit, no attribution, and no compensation.</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The forced apology of 23 October 2025 (Annexure "N"), extracted from the Applicant for his patient safety disclosure, and the simultaneous silent appropriation of his CPD Programme are part of a single pattern of institutional conduct designed to suppress the Applicant's independent professional contribution while benefiting from it without acknowledgment.</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5.	The CPD Programme fell entirely outside the scope of the Applicant's contracted duties as a Care Manager. Ownership of the programme accordingly vested in the Applicant as a matter of law. The Respondents' adoption and implementation of the programme without consent constitutes:</w:t>
      </w:r>
    </w:p>
    <w:p>
      <w:pPr>
        <w:spacing w:line="360" w:lineRule="auto"/>
        <w:ind w:left="1440"/>
      </w:pPr>
      <w:r>
        <w:rPr>
          <w:rFonts w:ascii="Times New Roman" w:cs="Times New Roman" w:eastAsia="Times New Roman" w:hAnsi="Times New Roman"/>
          <w:sz w:val="24"/>
          <w:szCs w:val="24"/>
        </w:rPr>
        <w:t xml:space="preserve">(a)	an unlawful appropriation of the Applicant's intellectual property;</w:t>
      </w:r>
    </w:p>
    <w:p>
      <w:pPr>
        <w:spacing w:line="360" w:lineRule="auto"/>
        <w:ind w:left="1440"/>
      </w:pPr>
      <w:r>
        <w:rPr>
          <w:rFonts w:ascii="Times New Roman" w:cs="Times New Roman" w:eastAsia="Times New Roman" w:hAnsi="Times New Roman"/>
          <w:sz w:val="24"/>
          <w:szCs w:val="24"/>
        </w:rPr>
        <w:t xml:space="preserve">(b)	unjust enrichment of the Second Respondent at the Applicant's expense; and</w:t>
      </w:r>
    </w:p>
    <w:p>
      <w:pPr>
        <w:spacing w:line="360" w:lineRule="auto"/>
        <w:ind w:left="1440"/>
      </w:pPr>
      <w:r>
        <w:rPr>
          <w:rFonts w:ascii="Times New Roman" w:cs="Times New Roman" w:eastAsia="Times New Roman" w:hAnsi="Times New Roman"/>
          <w:sz w:val="24"/>
          <w:szCs w:val="24"/>
        </w:rPr>
        <w:t xml:space="preserve">(c)	a breach of the duty of good faith inherent in the employment relationship, constituting a further act of unfair labour practice.</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6.	The misappropriation was effected by or through the Third Respondent, Jones, and the Second Respondent's operational management, all acting within the course and scope of their employment. The Second Respondent is vicariously liable. The First Respondent, as the entity within whose operational environment the appropriation occurred and whose group operations directly benefited, bears concurrent liability.</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7.	The Applicant reserves the right to call expert evidence on the quantification of damages, assessed with reference to: the commercial value of the CPD Programme to the Second Respondent's operations; the licensing fee a willing licensor and willing licensee would have agreed; and the reputational and professional damage sustained by the Applicant through the non-attribution. The Applicant further reserves the right to amend the quantum of this claim upon receipt of further documentation through discovery.</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I: THE RECORDED ADMISSION OF RETALIATORY INTENT</w:t>
      </w:r>
    </w:p>
    <w:p>
      <w:pPr>
        <w:spacing w:line="360" w:lineRule="auto"/>
        <w:ind w:left="720"/>
      </w:pPr>
      <w:r>
        <w:rPr>
          <w:rFonts w:ascii="Times New Roman" w:cs="Times New Roman" w:eastAsia="Times New Roman" w:hAnsi="Times New Roman"/>
          <w:sz w:val="24"/>
          <w:szCs w:val="24"/>
        </w:rPr>
        <w:t xml:space="preserve">1.	On 31 October 2025, in a meeting that the Applicant lawfully recorded, the Third Respondent, Jones, stated:</w:t>
      </w:r>
    </w:p>
    <w:p>
      <w:pPr>
        <w:spacing w:after="120" w:before="120" w:line="360" w:lineRule="auto"/>
        <w:ind w:left="1080" w:right="720"/>
      </w:pPr>
      <w:r>
        <w:rPr>
          <w:rFonts w:ascii="Times New Roman" w:cs="Times New Roman" w:eastAsia="Times New Roman" w:hAnsi="Times New Roman"/>
          <w:sz w:val="24"/>
          <w:szCs w:val="24"/>
        </w:rPr>
        <w:t xml:space="preserve">"You made a case of harassment against me, so I can make a case of harassment against you. You misspelled my name in an email — go look."</w:t>
      </w:r>
    </w:p>
    <w:p>
      <w:pPr>
        <w:spacing w:line="360" w:lineRule="auto"/>
        <w:ind w:left="720"/>
      </w:pPr>
      <w:r>
        <w:rPr>
          <w:rFonts w:ascii="Times New Roman" w:cs="Times New Roman" w:eastAsia="Times New Roman" w:hAnsi="Times New Roman"/>
          <w:sz w:val="24"/>
          <w:szCs w:val="24"/>
        </w:rPr>
        <w:t xml:space="preserve">Jones further warned the Applicant to "think of the ripple effect" of his actions as a person who had made formal complaints and protected disclosures. A transcript of the recording is attached as Annexure "O".</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This statement constitutes direct contemporaneous evidence of a causal nexus between the Applicant's protected activities (formal discrimination complaint, patient safety disclosure) and Jones's retaliatory intent. It satisfies the causal test for automatically unfair dismissal under section 187(1)(h) and for occupational detriment under section 3 of the PDA.</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Jones's warning about "the ripple effect" of the Applicant's whistleblowing activities constitutes a veiled threat within the meaning of "any act or omission that prejudices the employee" as contemplated in the definition of "occupational detriment" in section 1 of the PDA.</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J: INSTITUTIONAL SILENCE AND EXHAUSTION OF INTERNAL REMEDIES</w:t>
      </w:r>
    </w:p>
    <w:p>
      <w:pPr>
        <w:spacing w:line="360" w:lineRule="auto"/>
        <w:ind w:left="720"/>
      </w:pPr>
      <w:r>
        <w:rPr>
          <w:rFonts w:ascii="Times New Roman" w:cs="Times New Roman" w:eastAsia="Times New Roman" w:hAnsi="Times New Roman"/>
          <w:sz w:val="24"/>
          <w:szCs w:val="24"/>
        </w:rPr>
        <w:t xml:space="preserve">1.	On 2 November 2025, the Applicant filed a formal grievance against Jones, detailing malicious intent, gaslighting, weaponisation of past issues, orchestrated provocation, and a sustained campaign for his removal. He demanded an investigation, removal from Jones's team, and a written guarantee against retaliation (Annexure "P"). The Respondents met this grievance with over 30 consecutive days of institutional silence — no acknowledgment, no investigation, no response.</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On 4 December 2025, the Applicant escalated the matter to executive leadership with a 32-page evidence bundle, requesting paid recuperation leave, a financial settlement, and a written guarantee of non-retaliation (Annexure "Q").</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The Chief Risk Officer (Monwabisi Kula) responded on 9 December 2025, acknowledging receipt but stating that interim feedback would only be provided in January 2026 due to the "festive break". This response, given the humanitarian urgency of the Applicant's situation (two months in rental arrears, facing eviction, no food or medication funds), constituted a deliberate delay tactic rather than a good-faith engagement.</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On 9 December 2025, the Applicant escalated to the Board of Directors of AfroCentric Investment Corporation Limited with 38 attachments documenting discrimination, retaliation, King IV governance breaches, and material legal risks (constituting a Priority 1 Material Risk Report). The Board did not respond.</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5.	On 17 December 2025, the CRO sent a further communication asking the Applicant to "stop sending these e-mails to our directors", stating that continued escalation "only gives them an indication of impatience and unreasonableness on your part." The Applicant declined, asserting his right to escalate material risks to oversight committees. This gatekeeping response constitutes evidence of deliberate shielding from governance accountability.</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6.	The Applicant had exhausted all reasonable internal remedies prior to his resignation. The 30+ days of institutional silence following the November 2025 formal grievance, the "festive break" delay, and the CRO's gatekeeping communications collectively demonstrate the futility of further internal engagement — a relevant consideration under section 186(1)(e) of the LRA for purposes of establishing constructive dismissal.</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K: THE EMPLOYER'S BAD-FAITH OPPOSING AFFIDAVIT</w:t>
      </w:r>
    </w:p>
    <w:p>
      <w:pPr>
        <w:spacing w:line="360" w:lineRule="auto"/>
        <w:ind w:left="720"/>
      </w:pPr>
      <w:r>
        <w:rPr>
          <w:rFonts w:ascii="Times New Roman" w:cs="Times New Roman" w:eastAsia="Times New Roman" w:hAnsi="Times New Roman"/>
          <w:sz w:val="24"/>
          <w:szCs w:val="24"/>
        </w:rPr>
        <w:t xml:space="preserve">1.	On 10 December 2025, the Respondents, through their legal representative Xolile Vincent Manyati, filed an opposing affidavit in the CCMA (Case WECT23564-25) (Annexure "R"). The affidavit contained the following personal attacks made under oath:</w:t>
      </w:r>
    </w:p>
    <w:p>
      <w:pPr>
        <w:spacing w:line="360" w:lineRule="auto"/>
        <w:ind w:left="1440"/>
      </w:pPr>
      <w:r>
        <w:rPr>
          <w:rFonts w:ascii="Times New Roman" w:cs="Times New Roman" w:eastAsia="Times New Roman" w:hAnsi="Times New Roman"/>
          <w:sz w:val="24"/>
          <w:szCs w:val="24"/>
        </w:rPr>
        <w:t xml:space="preserve">(a)	The Applicant's diagnosed depression and PTSD were dismissed as a "cynical excuse" and an "afterthought";</w:t>
      </w:r>
    </w:p>
    <w:p>
      <w:pPr>
        <w:spacing w:line="360" w:lineRule="auto"/>
        <w:ind w:left="1440"/>
      </w:pPr>
      <w:r>
        <w:rPr>
          <w:rFonts w:ascii="Times New Roman" w:cs="Times New Roman" w:eastAsia="Times New Roman" w:hAnsi="Times New Roman"/>
          <w:sz w:val="24"/>
          <w:szCs w:val="24"/>
        </w:rPr>
        <w:t xml:space="preserve">(b)	The Applicant was labelled as having an "untruthful character";</w:t>
      </w:r>
    </w:p>
    <w:p>
      <w:pPr>
        <w:spacing w:line="360" w:lineRule="auto"/>
        <w:ind w:left="1440"/>
      </w:pPr>
      <w:r>
        <w:rPr>
          <w:rFonts w:ascii="Times New Roman" w:cs="Times New Roman" w:eastAsia="Times New Roman" w:hAnsi="Times New Roman"/>
          <w:sz w:val="24"/>
          <w:szCs w:val="24"/>
        </w:rPr>
        <w:t xml:space="preserve">(c)	His clinical and professional conduct was described as "sloppiness" and a "fishing expedition"; and</w:t>
      </w:r>
    </w:p>
    <w:p>
      <w:pPr>
        <w:spacing w:line="360" w:lineRule="auto"/>
        <w:ind w:left="1440"/>
      </w:pPr>
      <w:r>
        <w:rPr>
          <w:rFonts w:ascii="Times New Roman" w:cs="Times New Roman" w:eastAsia="Times New Roman" w:hAnsi="Times New Roman"/>
          <w:sz w:val="24"/>
          <w:szCs w:val="24"/>
        </w:rPr>
        <w:t xml:space="preserve">(d)	The Respondents demanded that his application be dismissed "with cost".</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This affidavit was filed the day after the Applicant's board-level escalation. The characterisation of a SANC-registered NQF Level 8 nurse's documented psychiatric condition as a "cynical excuse" in a sworn document constitutes:</w:t>
      </w:r>
    </w:p>
    <w:p>
      <w:pPr>
        <w:spacing w:line="360" w:lineRule="auto"/>
        <w:ind w:left="1440"/>
      </w:pPr>
      <w:r>
        <w:rPr>
          <w:rFonts w:ascii="Times New Roman" w:cs="Times New Roman" w:eastAsia="Times New Roman" w:hAnsi="Times New Roman"/>
          <w:sz w:val="24"/>
          <w:szCs w:val="24"/>
        </w:rPr>
        <w:t xml:space="preserve">(a)	discrimination on the ground of disability under section 6(1) of the EEA;</w:t>
      </w:r>
    </w:p>
    <w:p>
      <w:pPr>
        <w:spacing w:line="360" w:lineRule="auto"/>
        <w:ind w:left="1440"/>
      </w:pPr>
      <w:r>
        <w:rPr>
          <w:rFonts w:ascii="Times New Roman" w:cs="Times New Roman" w:eastAsia="Times New Roman" w:hAnsi="Times New Roman"/>
          <w:sz w:val="24"/>
          <w:szCs w:val="24"/>
        </w:rPr>
        <w:t xml:space="preserve">(b)	a violation of the right to dignity under section 10 of the Constitution; and</w:t>
      </w:r>
    </w:p>
    <w:p>
      <w:pPr>
        <w:spacing w:line="360" w:lineRule="auto"/>
        <w:ind w:left="1440"/>
      </w:pPr>
      <w:r>
        <w:rPr>
          <w:rFonts w:ascii="Times New Roman" w:cs="Times New Roman" w:eastAsia="Times New Roman" w:hAnsi="Times New Roman"/>
          <w:sz w:val="24"/>
          <w:szCs w:val="24"/>
        </w:rPr>
        <w:t xml:space="preserve">(c)	evidence of the bad faith that pervaded the entire employment relationship and that renders the employer's conduct unlawful for purposes of the costs prayer.</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The Applicant places on record that he has identified specific material false statements in the Manyati affidavit that are directly contradicted by contemporaneous documentary evidence including Dr Malan's specialist letter (Annexure "F"), the Respondents' own AOD Policy (Annexure "J"), and Jones's written misrepresentation (Annexure "H"). The Applicant reserves his right to refer the matter to the South African Police Service and the National Prosecuting Authority for investigation under section 319 of the Criminal Procedure Act 51 of 1977 once these proceedings are concluded.</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The filing of this affidavit, combined with the cumulative conduct described above, eliminated any objective possibility of restoring the employment relationship and constituted the final act rendering continued employment intolerable.</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L: RESIGNATION — AUTOMATICALLY UNFAIR CONSTRUCTIVE DISMISSAL</w:t>
      </w:r>
    </w:p>
    <w:p>
      <w:pPr>
        <w:spacing w:line="360" w:lineRule="auto"/>
        <w:ind w:left="720"/>
      </w:pPr>
      <w:r>
        <w:rPr>
          <w:rFonts w:ascii="Times New Roman" w:cs="Times New Roman" w:eastAsia="Times New Roman" w:hAnsi="Times New Roman"/>
          <w:sz w:val="24"/>
          <w:szCs w:val="24"/>
        </w:rPr>
        <w:t xml:space="preserve">1.	On 11 December 2025, the Applicant gave formal notice of resignation, effective 12 December 2025, citing the employer's sworn affidavit as the final intolerable act. The resignation letter is attached as Annexure "S".</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The employment situation had become objectively intolerable for the purposes of section 186(1)(e) of the LRA due to the cumulative effect of the following:</w:t>
      </w:r>
    </w:p>
    <w:p>
      <w:pPr>
        <w:spacing w:line="360" w:lineRule="auto"/>
        <w:ind w:left="1440"/>
      </w:pPr>
      <w:r>
        <w:rPr>
          <w:rFonts w:ascii="Times New Roman" w:cs="Times New Roman" w:eastAsia="Times New Roman" w:hAnsi="Times New Roman"/>
          <w:sz w:val="24"/>
          <w:szCs w:val="24"/>
        </w:rPr>
        <w:t xml:space="preserve">(a)	The unlawful salary deduction of 40.47%, made without consultation and in breach of the statutory cap, while the employer was in possession of the Applicant's psychiatric assessment confirming medical vulnerability;</w:t>
      </w:r>
    </w:p>
    <w:p>
      <w:pPr>
        <w:spacing w:line="360" w:lineRule="auto"/>
        <w:ind w:left="1440"/>
      </w:pPr>
      <w:r>
        <w:rPr>
          <w:rFonts w:ascii="Times New Roman" w:cs="Times New Roman" w:eastAsia="Times New Roman" w:hAnsi="Times New Roman"/>
          <w:sz w:val="24"/>
          <w:szCs w:val="24"/>
        </w:rPr>
        <w:t xml:space="preserve">(b)	Discrimination and harassment on the grounds of gender identity and sexual orientation ('Wilma' incident), followed by a whitewash investigation;</w:t>
      </w:r>
    </w:p>
    <w:p>
      <w:pPr>
        <w:spacing w:line="360" w:lineRule="auto"/>
        <w:ind w:left="1440"/>
      </w:pPr>
      <w:r>
        <w:rPr>
          <w:rFonts w:ascii="Times New Roman" w:cs="Times New Roman" w:eastAsia="Times New Roman" w:hAnsi="Times New Roman"/>
          <w:sz w:val="24"/>
          <w:szCs w:val="24"/>
        </w:rPr>
        <w:t xml:space="preserve">(c)	Retaliation and insubordination labelling following a bona fide protected disclosure of a patient safety risk;</w:t>
      </w:r>
    </w:p>
    <w:p>
      <w:pPr>
        <w:spacing w:line="360" w:lineRule="auto"/>
        <w:ind w:left="1440"/>
      </w:pPr>
      <w:r>
        <w:rPr>
          <w:rFonts w:ascii="Times New Roman" w:cs="Times New Roman" w:eastAsia="Times New Roman" w:hAnsi="Times New Roman"/>
          <w:sz w:val="24"/>
          <w:szCs w:val="24"/>
        </w:rPr>
        <w:t xml:space="preserve">(d)	The silent misappropriation of the Applicant's independently designed CPD Programme without consent, attribution, or compensation;</w:t>
      </w:r>
    </w:p>
    <w:p>
      <w:pPr>
        <w:spacing w:line="360" w:lineRule="auto"/>
        <w:ind w:left="1440"/>
      </w:pPr>
      <w:r>
        <w:rPr>
          <w:rFonts w:ascii="Times New Roman" w:cs="Times New Roman" w:eastAsia="Times New Roman" w:hAnsi="Times New Roman"/>
          <w:sz w:val="24"/>
          <w:szCs w:val="24"/>
        </w:rPr>
        <w:t xml:space="preserve">(e)	The recorded admission of retaliatory intent by Jones;</w:t>
      </w:r>
    </w:p>
    <w:p>
      <w:pPr>
        <w:spacing w:line="360" w:lineRule="auto"/>
        <w:ind w:left="1440"/>
      </w:pPr>
      <w:r>
        <w:rPr>
          <w:rFonts w:ascii="Times New Roman" w:cs="Times New Roman" w:eastAsia="Times New Roman" w:hAnsi="Times New Roman"/>
          <w:sz w:val="24"/>
          <w:szCs w:val="24"/>
        </w:rPr>
        <w:t xml:space="preserve">(f)	Over 30 days of institutional silence on formal grievances, demonstrating the futility of internal remedies;</w:t>
      </w:r>
    </w:p>
    <w:p>
      <w:pPr>
        <w:spacing w:line="360" w:lineRule="auto"/>
        <w:ind w:left="1440"/>
      </w:pPr>
      <w:r>
        <w:rPr>
          <w:rFonts w:ascii="Times New Roman" w:cs="Times New Roman" w:eastAsia="Times New Roman" w:hAnsi="Times New Roman"/>
          <w:sz w:val="24"/>
          <w:szCs w:val="24"/>
        </w:rPr>
        <w:t xml:space="preserve">(g)	The executive 'festive break' delay and the CRO's gatekeeping of Board-level escalation; and</w:t>
      </w:r>
    </w:p>
    <w:p>
      <w:pPr>
        <w:spacing w:line="360" w:lineRule="auto"/>
        <w:ind w:left="1440"/>
      </w:pPr>
      <w:r>
        <w:rPr>
          <w:rFonts w:ascii="Times New Roman" w:cs="Times New Roman" w:eastAsia="Times New Roman" w:hAnsi="Times New Roman"/>
          <w:sz w:val="24"/>
          <w:szCs w:val="24"/>
        </w:rPr>
        <w:t xml:space="preserve">(h)	The sworn, defamatory affidavit attacking the Applicant's psychiatric condition and professional character.</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The Applicant's resignation constitutes a constructive dismissal within the meaning of section 186(1)(e) of the LRA. The dominant reason for the dismissal — pervading all of the conduct described above — is the Respondents' retaliation against the Applicant for making protected disclosures as defined in the PDA. The dismissal is accordingly automatically unfair in terms of section 187(1)(h) of the LRA.</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Alternatively, if the Court finds that the dismissal does not fall within section 187(1)(h), the Applicant contends that the dismissal was automatically unfair under section 187(1)(f) of the LRA in that the reason for the dismissal relates to the Applicant's disability.</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5.	Further alternatively, if the Court finds that the dismissal is not automatically unfair, the Applicant submits that it was substantively and procedurally unfair within the meaning of section 185 of the LRA, for all the reasons set out above.</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M: CAREER DESTRUCTION — INABILITY TO PRACTISE NURSING</w:t>
      </w:r>
    </w:p>
    <w:p>
      <w:pPr>
        <w:spacing w:line="360" w:lineRule="auto"/>
        <w:ind w:left="720"/>
      </w:pPr>
      <w:r>
        <w:rPr>
          <w:rFonts w:ascii="Times New Roman" w:cs="Times New Roman" w:eastAsia="Times New Roman" w:hAnsi="Times New Roman"/>
          <w:sz w:val="24"/>
          <w:szCs w:val="24"/>
        </w:rPr>
        <w:t xml:space="preserve">1.	As a direct and proximate result of the unlawful 40.47% salary deduction in July 2025, the Applicant was rendered financially destitute. He could not afford to pay his annual registration fee to the South African Nursing Council ("SANC") and consequently his nursing registration was not renewed.</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As a result, the Applicant is currently barred from practising as a registered nurse — a permanent deprivation of his professional livelihood, constituting career destruction.</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The Applicant had been accepted into the Postgraduate Diploma in Occupational Health Nursing at the Cape Peninsula University of Technology ("CPUT") for the 2026 academic year. Due to the Respondents' financial sabotage, he could not pay the registration fee and lost that professional development opportunity. The acceptance letter is attached as Annexure "T".</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The loss of nursing registration and the lost CPUT opportunity constitute recoverable consequential damages caused by the unlawful deduction. They are pleaded as damages under section 4 of the PDA (occupational detriment) and under the general damages jurisdiction of this Court.</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N: POST-RESIGNATION VICTIMISATION</w:t>
      </w:r>
    </w:p>
    <w:p>
      <w:pPr>
        <w:spacing w:line="360" w:lineRule="auto"/>
        <w:ind w:left="720"/>
      </w:pPr>
      <w:r>
        <w:rPr>
          <w:rFonts w:ascii="Times New Roman" w:cs="Times New Roman" w:eastAsia="Times New Roman" w:hAnsi="Times New Roman"/>
          <w:sz w:val="24"/>
          <w:szCs w:val="24"/>
        </w:rPr>
        <w:t xml:space="preserve">1.	After the Applicant's resignation, the Respondents continued to cause him harm through the following acts of post-resignation victimisation:</w:t>
      </w:r>
    </w:p>
    <w:p>
      <w:pPr>
        <w:spacing w:line="360" w:lineRule="auto"/>
        <w:ind w:left="1440"/>
      </w:pPr>
      <w:r>
        <w:rPr>
          <w:rFonts w:ascii="Times New Roman" w:cs="Times New Roman" w:eastAsia="Times New Roman" w:hAnsi="Times New Roman"/>
          <w:sz w:val="24"/>
          <w:szCs w:val="24"/>
        </w:rPr>
        <w:t xml:space="preserve">(a)	UIF Non-Declaration: UIF contributions were deducted from the Applicant's June 2025 salary but the Respondents failed to declare his employment for that month. The uFiling portal continues to reflect 'No Information' for June 2025 (Annexure "U"). This constitutes a contravention of section 5 of the Unemployment Insurance Contributions Act 4 of 2002, as well as potential fraud under section 68 of the Unemployment Insurance Act 63 of 2001;</w:t>
      </w:r>
    </w:p>
    <w:p>
      <w:pPr>
        <w:spacing w:line="360" w:lineRule="auto"/>
        <w:ind w:left="1440"/>
      </w:pPr>
      <w:r>
        <w:rPr>
          <w:rFonts w:ascii="Times New Roman" w:cs="Times New Roman" w:eastAsia="Times New Roman" w:hAnsi="Times New Roman"/>
          <w:sz w:val="24"/>
          <w:szCs w:val="24"/>
        </w:rPr>
        <w:t xml:space="preserve">(b)	Fraudulent Certificate of Service: The Certificate of Service issued to the Applicant designates him as 'Care Coordinator' rather than 'Specialist: Care Manager' or 'Health Services Management Nurse Specialist'. The Respondents have refused to correct this despite the Applicant's formal demand and have withheld the recording of the internal 'Naming Convention' meeting that would confirm his true title (Annexure "V"). This constitutes a contravention of section 42 of the BCEA; and</w:t>
      </w:r>
    </w:p>
    <w:p>
      <w:pPr>
        <w:spacing w:line="360" w:lineRule="auto"/>
        <w:ind w:left="1440"/>
      </w:pPr>
      <w:r>
        <w:rPr>
          <w:rFonts w:ascii="Times New Roman" w:cs="Times New Roman" w:eastAsia="Times New Roman" w:hAnsi="Times New Roman"/>
          <w:sz w:val="24"/>
          <w:szCs w:val="24"/>
        </w:rPr>
        <w:t xml:space="preserve">(c)	Withholding of Exit Documents: The Respondents delayed providing the UI-19 form and retirement fund claim forms, causing additional financial prejudice to an already destitute applicant.</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O: REGULATORY AND THIRD-PARTY CONFIRMATION OF MATERIAL FACTS</w:t>
      </w:r>
    </w:p>
    <w:p>
      <w:pPr>
        <w:spacing w:line="360" w:lineRule="auto"/>
        <w:ind w:left="720"/>
      </w:pPr>
      <w:r>
        <w:rPr>
          <w:rFonts w:ascii="Times New Roman" w:cs="Times New Roman" w:eastAsia="Times New Roman" w:hAnsi="Times New Roman"/>
          <w:sz w:val="24"/>
          <w:szCs w:val="24"/>
        </w:rPr>
        <w:t xml:space="preserve">1.	The following regulatory and institutional acknowledgments independently corroborate the material facts set out in this Statement of Claim:</w:t>
      </w:r>
    </w:p>
    <w:p>
      <w:pPr>
        <w:spacing w:line="360" w:lineRule="auto"/>
        <w:ind w:left="1440"/>
      </w:pPr>
      <w:r>
        <w:rPr>
          <w:rFonts w:ascii="Times New Roman" w:cs="Times New Roman" w:eastAsia="Times New Roman" w:hAnsi="Times New Roman"/>
          <w:sz w:val="24"/>
          <w:szCs w:val="24"/>
        </w:rPr>
        <w:t xml:space="preserve">(a)	Council for Medical Schemes (CMS): Formally identified 'Administrative Misconduct and Ethical Failure' in relation to the Gexus/DMS integration gap and referred the matter to HPCSA and SANC (Annexure "W");</w:t>
      </w:r>
    </w:p>
    <w:p>
      <w:pPr>
        <w:spacing w:line="360" w:lineRule="auto"/>
        <w:ind w:left="1440"/>
      </w:pPr>
      <w:r>
        <w:rPr>
          <w:rFonts w:ascii="Times New Roman" w:cs="Times New Roman" w:eastAsia="Times New Roman" w:hAnsi="Times New Roman"/>
          <w:sz w:val="24"/>
          <w:szCs w:val="24"/>
        </w:rPr>
        <w:t xml:space="preserve">(b)	South African Human Rights Commission (SAHRC): Acknowledged the 'seriousness of the allegations' regarding victimisation and financial prejudice, and made referrals to the CCMA, Labour Court, and Department of Employment and Labour (Annexure "X");</w:t>
      </w:r>
    </w:p>
    <w:p>
      <w:pPr>
        <w:spacing w:line="360" w:lineRule="auto"/>
        <w:ind w:left="1440"/>
      </w:pPr>
      <w:r>
        <w:rPr>
          <w:rFonts w:ascii="Times New Roman" w:cs="Times New Roman" w:eastAsia="Times New Roman" w:hAnsi="Times New Roman"/>
          <w:sz w:val="24"/>
          <w:szCs w:val="24"/>
        </w:rPr>
        <w:t xml:space="preserve">(c)	JSE Issuer Regulation Division: Acknowledged receipt of the Applicant's 325-page evidentiary bundle and has engaged the First Respondent for a response regarding potential SENS disclosure failures;</w:t>
      </w:r>
    </w:p>
    <w:p>
      <w:pPr>
        <w:spacing w:line="360" w:lineRule="auto"/>
        <w:ind w:left="1440"/>
      </w:pPr>
      <w:r>
        <w:rPr>
          <w:rFonts w:ascii="Times New Roman" w:cs="Times New Roman" w:eastAsia="Times New Roman" w:hAnsi="Times New Roman"/>
          <w:sz w:val="24"/>
          <w:szCs w:val="24"/>
        </w:rPr>
        <w:t xml:space="preserve">(d)	B-BBEE Commission: Allocated Case No. 5/02/2026 for investigation of the B-BBEE fronting allegation;</w:t>
      </w:r>
    </w:p>
    <w:p>
      <w:pPr>
        <w:spacing w:line="360" w:lineRule="auto"/>
        <w:ind w:left="1440"/>
      </w:pPr>
      <w:r>
        <w:rPr>
          <w:rFonts w:ascii="Times New Roman" w:cs="Times New Roman" w:eastAsia="Times New Roman" w:hAnsi="Times New Roman"/>
          <w:sz w:val="24"/>
          <w:szCs w:val="24"/>
        </w:rPr>
        <w:t xml:space="preserve">(e)	Department of Employment and Labour: Allocated an integrated inspection for UIF non-compliance (DEL IES Ref, 16 February 2026); and</w:t>
      </w:r>
    </w:p>
    <w:p>
      <w:pPr>
        <w:spacing w:line="360" w:lineRule="auto"/>
        <w:ind w:left="1440"/>
      </w:pPr>
      <w:r>
        <w:rPr>
          <w:rFonts w:ascii="Times New Roman" w:cs="Times New Roman" w:eastAsia="Times New Roman" w:hAnsi="Times New Roman"/>
          <w:sz w:val="24"/>
          <w:szCs w:val="24"/>
        </w:rPr>
        <w:t xml:space="preserve">(f)	SAPS: Criminal case CAS 705/3/2026 registered at SAPS Delft on 19 March 2026 and transferred to SAPS Woodstock on 25 March 2026 for investigation of statutory fraud under the UIF Contributions Act and BCEA.</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A full Master Chronological Register containing 148 entries from 11 January 2024 to 2 April 2026, summarising all material events, institutional responses, and patterns of deflection, is attached as Annexure "Z".</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P: SUMMARY OF CAUSES OF ACTION</w:t>
      </w:r>
    </w:p>
    <w:p>
      <w:pPr>
        <w:spacing w:line="360" w:lineRule="auto"/>
        <w:ind w:left="720"/>
      </w:pPr>
      <w:r>
        <w:rPr>
          <w:rFonts w:ascii="Times New Roman" w:cs="Times New Roman" w:eastAsia="Times New Roman" w:hAnsi="Times New Roman"/>
          <w:sz w:val="24"/>
          <w:szCs w:val="24"/>
        </w:rPr>
        <w:t xml:space="preserve">1.	The Applicant's causes of action are as follows:</w:t>
      </w:r>
    </w:p>
    <w:p>
      <w:pPr>
        <w:spacing w:line="360" w:lineRule="auto"/>
        <w:ind w:left="1440"/>
      </w:pPr>
      <w:r>
        <w:rPr>
          <w:rFonts w:ascii="Times New Roman" w:cs="Times New Roman" w:eastAsia="Times New Roman" w:hAnsi="Times New Roman"/>
          <w:sz w:val="24"/>
          <w:szCs w:val="24"/>
        </w:rPr>
        <w:t xml:space="preserve">(a)	Primary claim: Automatically unfair constructive dismissal under sections 186(1)(e) and 187(1)(h) of the LRA — the dominant reason for the dismissal was retaliation for protected disclosures as defined in the PDA;</w:t>
      </w:r>
    </w:p>
    <w:p>
      <w:pPr>
        <w:spacing w:line="360" w:lineRule="auto"/>
        <w:ind w:left="1440"/>
      </w:pPr>
      <w:r>
        <w:rPr>
          <w:rFonts w:ascii="Times New Roman" w:cs="Times New Roman" w:eastAsia="Times New Roman" w:hAnsi="Times New Roman"/>
          <w:sz w:val="24"/>
          <w:szCs w:val="24"/>
        </w:rPr>
        <w:t xml:space="preserve">(b)	Alternative claim A: Automatically unfair dismissal under sections 186(1)(e) and 187(1)(f) of the LRA — the dominant reason relates to the Applicant's disability;</w:t>
      </w:r>
    </w:p>
    <w:p>
      <w:pPr>
        <w:spacing w:line="360" w:lineRule="auto"/>
        <w:ind w:left="1440"/>
      </w:pPr>
      <w:r>
        <w:rPr>
          <w:rFonts w:ascii="Times New Roman" w:cs="Times New Roman" w:eastAsia="Times New Roman" w:hAnsi="Times New Roman"/>
          <w:sz w:val="24"/>
          <w:szCs w:val="24"/>
        </w:rPr>
        <w:t xml:space="preserve">(c)	Alternative claim B: Constructively and substantively/procedurally unfair dismissal under sections 185 and 186(1)(e) of the LRA;</w:t>
      </w:r>
    </w:p>
    <w:p>
      <w:pPr>
        <w:spacing w:line="360" w:lineRule="auto"/>
        <w:ind w:left="1440"/>
      </w:pPr>
      <w:r>
        <w:rPr>
          <w:rFonts w:ascii="Times New Roman" w:cs="Times New Roman" w:eastAsia="Times New Roman" w:hAnsi="Times New Roman"/>
          <w:sz w:val="24"/>
          <w:szCs w:val="24"/>
        </w:rPr>
        <w:t xml:space="preserve">(d)	Unfair discrimination and harassment under sections 6(1), 6(3) and 60 of the EEA — on the grounds of sexual orientation, gender identity and disability;</w:t>
      </w:r>
    </w:p>
    <w:p>
      <w:pPr>
        <w:spacing w:line="360" w:lineRule="auto"/>
        <w:ind w:left="1440"/>
      </w:pPr>
      <w:r>
        <w:rPr>
          <w:rFonts w:ascii="Times New Roman" w:cs="Times New Roman" w:eastAsia="Times New Roman" w:hAnsi="Times New Roman"/>
          <w:sz w:val="24"/>
          <w:szCs w:val="24"/>
        </w:rPr>
        <w:t xml:space="preserve">(e)	Occupational detriment for making protected disclosures under sections 3 and 4 of the PDA;</w:t>
      </w:r>
    </w:p>
    <w:p>
      <w:pPr>
        <w:spacing w:line="360" w:lineRule="auto"/>
        <w:ind w:left="1440"/>
      </w:pPr>
      <w:r>
        <w:rPr>
          <w:rFonts w:ascii="Times New Roman" w:cs="Times New Roman" w:eastAsia="Times New Roman" w:hAnsi="Times New Roman"/>
          <w:sz w:val="24"/>
          <w:szCs w:val="24"/>
        </w:rPr>
        <w:t xml:space="preserve">(f)	Contravention of section 34(2) of the BCEA — unlawful salary deduction (also pleaded in Case No. 2026-077546);</w:t>
      </w:r>
    </w:p>
    <w:p>
      <w:pPr>
        <w:spacing w:line="360" w:lineRule="auto"/>
        <w:ind w:left="1440"/>
      </w:pPr>
      <w:r>
        <w:rPr>
          <w:rFonts w:ascii="Times New Roman" w:cs="Times New Roman" w:eastAsia="Times New Roman" w:hAnsi="Times New Roman"/>
          <w:sz w:val="24"/>
          <w:szCs w:val="24"/>
        </w:rPr>
        <w:t xml:space="preserve">(g)	Contravention of section 42 of the BCEA — failure to provide a true and accurate Certificate of Service;</w:t>
      </w:r>
    </w:p>
    <w:p>
      <w:pPr>
        <w:spacing w:line="360" w:lineRule="auto"/>
        <w:ind w:left="1440"/>
      </w:pPr>
      <w:r>
        <w:rPr>
          <w:rFonts w:ascii="Times New Roman" w:cs="Times New Roman" w:eastAsia="Times New Roman" w:hAnsi="Times New Roman"/>
          <w:sz w:val="24"/>
          <w:szCs w:val="24"/>
        </w:rPr>
        <w:t xml:space="preserve">(h)	Contravention of section 5(1) of the UIF Contributions Act 4 of 2002 — failure to declare contributions for June 2025; and</w:t>
      </w:r>
    </w:p>
    <w:p>
      <w:pPr>
        <w:spacing w:line="360" w:lineRule="auto"/>
        <w:ind w:left="1440"/>
      </w:pPr>
      <w:r>
        <w:rPr>
          <w:rFonts w:ascii="Times New Roman" w:cs="Times New Roman" w:eastAsia="Times New Roman" w:hAnsi="Times New Roman"/>
          <w:sz w:val="24"/>
          <w:szCs w:val="24"/>
        </w:rPr>
        <w:t xml:space="preserve">(i)	Unlawful misappropriation of intellectual property / unjust enrichment — the Applicant's independently designed CPD Programme was adopted and implemented by the Second Respondent without consent, attribution, or compensation, causing the Applicant recoverable loss.</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Q: QUANTIFICATION OF LOSS</w:t>
      </w:r>
    </w:p>
    <w:p>
      <w:pPr>
        <w:spacing w:line="360" w:lineRule="auto"/>
        <w:ind w:left="720"/>
      </w:pPr>
      <w:r>
        <w:rPr>
          <w:rFonts w:ascii="Times New Roman" w:cs="Times New Roman" w:eastAsia="Times New Roman" w:hAnsi="Times New Roman"/>
          <w:sz w:val="24"/>
          <w:szCs w:val="24"/>
        </w:rPr>
        <w:t xml:space="preserve">1.	The Applicant's loss is calculated as follows:</w:t>
      </w:r>
    </w:p>
    <w:p>
      <w:pPr>
        <w:spacing w:line="360" w:lineRule="auto"/>
      </w:pPr>
      <w:r>
        <w:rPr>
          <w:rFonts w:ascii="Times New Roman" w:cs="Times New Roman" w:eastAsia="Times New Roman" w:hAnsi="Times New Roman"/>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2285"/>
        <w:gridCol w:w="2108"/>
      </w:tblGrid>
      <w:tr>
        <w:trPr>
          <w:tblHeader/>
        </w:trPr>
        <w:tc>
          <w:tcPr>
            <w:tcW w:type="dxa" w:w="4394"/>
            <w:tcBorders>
              <w:top w:val="single" w:color="000000" w:sz="4"/>
              <w:left w:val="single" w:color="000000" w:sz="4"/>
              <w:bottom w:val="single" w:color="000000" w:sz="4"/>
              <w:right w:val="single" w:color="000000" w:sz="4"/>
            </w:tcBorders>
            <w:shd w:fill="1F3864" w:val="clear"/>
            <w:tcMar>
              <w:top w:type="dxa" w:w="60"/>
              <w:left w:type="dxa" w:w="100"/>
              <w:bottom w:type="dxa" w:w="60"/>
              <w:right w:type="dxa" w:w="100"/>
            </w:tcMar>
          </w:tcPr>
          <w:p>
            <w:pPr>
              <w:spacing w:line="360" w:lineRule="auto"/>
            </w:pPr>
            <w:r>
              <w:rPr>
                <w:rFonts w:ascii="Times New Roman" w:cs="Times New Roman" w:eastAsia="Times New Roman" w:hAnsi="Times New Roman"/>
                <w:b/>
                <w:bCs/>
                <w:color w:val="FFFFFF"/>
                <w:sz w:val="20"/>
                <w:szCs w:val="20"/>
              </w:rPr>
              <w:t xml:space="preserve">Head of Damage / Claim</w:t>
            </w:r>
          </w:p>
        </w:tc>
        <w:tc>
          <w:tcPr>
            <w:tcW w:type="dxa" w:w="2285"/>
            <w:tcBorders>
              <w:top w:val="single" w:color="000000" w:sz="4"/>
              <w:left w:val="single" w:color="000000" w:sz="4"/>
              <w:bottom w:val="single" w:color="000000" w:sz="4"/>
              <w:right w:val="single" w:color="000000" w:sz="4"/>
            </w:tcBorders>
            <w:shd w:fill="1F3864" w:val="clear"/>
            <w:tcMar>
              <w:top w:type="dxa" w:w="60"/>
              <w:left w:type="dxa" w:w="100"/>
              <w:bottom w:type="dxa" w:w="60"/>
              <w:right w:type="dxa" w:w="100"/>
            </w:tcMar>
          </w:tcPr>
          <w:p>
            <w:pPr>
              <w:spacing w:line="360" w:lineRule="auto"/>
            </w:pPr>
            <w:r>
              <w:rPr>
                <w:rFonts w:ascii="Times New Roman" w:cs="Times New Roman" w:eastAsia="Times New Roman" w:hAnsi="Times New Roman"/>
                <w:b/>
                <w:bCs/>
                <w:color w:val="FFFFFF"/>
                <w:sz w:val="20"/>
                <w:szCs w:val="20"/>
              </w:rPr>
              <w:t xml:space="preserve">Statutory Basis</w:t>
            </w:r>
          </w:p>
        </w:tc>
        <w:tc>
          <w:tcPr>
            <w:tcW w:type="dxa" w:w="2108"/>
            <w:tcBorders>
              <w:top w:val="single" w:color="000000" w:sz="4"/>
              <w:left w:val="single" w:color="000000" w:sz="4"/>
              <w:bottom w:val="single" w:color="000000" w:sz="4"/>
              <w:right w:val="single" w:color="000000" w:sz="4"/>
            </w:tcBorders>
            <w:shd w:fill="1F3864" w:val="clear"/>
            <w:tcMar>
              <w:top w:type="dxa" w:w="60"/>
              <w:left w:type="dxa" w:w="100"/>
              <w:bottom w:type="dxa" w:w="60"/>
              <w:right w:type="dxa" w:w="100"/>
            </w:tcMar>
          </w:tcPr>
          <w:p>
            <w:pPr>
              <w:spacing w:line="360" w:lineRule="auto"/>
            </w:pPr>
            <w:r>
              <w:rPr>
                <w:rFonts w:ascii="Times New Roman" w:cs="Times New Roman" w:eastAsia="Times New Roman" w:hAnsi="Times New Roman"/>
                <w:b/>
                <w:bCs/>
                <w:color w:val="FFFFFF"/>
                <w:sz w:val="20"/>
                <w:szCs w:val="20"/>
              </w:rPr>
              <w:t xml:space="preserve">Amount (ZAR)</w:t>
            </w:r>
          </w:p>
        </w:tc>
      </w:tr>
      <w:tr>
        <w:tc>
          <w:tcPr>
            <w:tcW w:type="dxa" w:w="43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Automatically unfair dismissal compensation (24 months × R42,796.13)</w:t>
            </w:r>
          </w:p>
        </w:tc>
        <w:tc>
          <w:tcPr>
            <w:tcW w:type="dxa" w:w="22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LRA s194(3)</w:t>
            </w:r>
          </w:p>
        </w:tc>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R1,027,107.12</w:t>
            </w:r>
          </w:p>
        </w:tc>
      </w:tr>
      <w:tr>
        <w:tc>
          <w:tcPr>
            <w:tcW w:type="dxa" w:w="439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Unlawful salary deduction — principal amount</w:t>
            </w:r>
          </w:p>
        </w:tc>
        <w:tc>
          <w:tcPr>
            <w:tcW w:type="dxa" w:w="2285"/>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BCEA s34(2) / s77A</w:t>
            </w:r>
          </w:p>
        </w:tc>
        <w:tc>
          <w:tcPr>
            <w:tcW w:type="dxa" w:w="2108"/>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R14,811.77</w:t>
            </w:r>
          </w:p>
        </w:tc>
      </w:tr>
      <w:tr>
        <w:tc>
          <w:tcPr>
            <w:tcW w:type="dxa" w:w="43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Interest on unlawful deduction (prescribed rate from 23 Jul 2025)</w:t>
            </w:r>
          </w:p>
        </w:tc>
        <w:tc>
          <w:tcPr>
            <w:tcW w:type="dxa" w:w="22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Prescribed Rate Act</w:t>
            </w:r>
          </w:p>
        </w:tc>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To be calculated</w:t>
            </w:r>
          </w:p>
        </w:tc>
      </w:tr>
      <w:tr>
        <w:tc>
          <w:tcPr>
            <w:tcW w:type="dxa" w:w="439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EEA — solatium for injury to dignity (sexual orientation / disability discrimination)</w:t>
            </w:r>
          </w:p>
        </w:tc>
        <w:tc>
          <w:tcPr>
            <w:tcW w:type="dxa" w:w="2285"/>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EEA s50(2)</w:t>
            </w:r>
          </w:p>
        </w:tc>
        <w:tc>
          <w:tcPr>
            <w:tcW w:type="dxa" w:w="2108"/>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R350,000.00</w:t>
            </w:r>
          </w:p>
        </w:tc>
      </w:tr>
      <w:tr>
        <w:tc>
          <w:tcPr>
            <w:tcW w:type="dxa" w:w="43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EEA — compensation for failure of reasonable accommodation</w:t>
            </w:r>
          </w:p>
        </w:tc>
        <w:tc>
          <w:tcPr>
            <w:tcW w:type="dxa" w:w="22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EEA s50(2)</w:t>
            </w:r>
          </w:p>
        </w:tc>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To be assessed</w:t>
            </w:r>
          </w:p>
        </w:tc>
      </w:tr>
      <w:tr>
        <w:tc>
          <w:tcPr>
            <w:tcW w:type="dxa" w:w="439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PDA — compensation for occupational detriment (financial loss, SANC registration, CPUT opportunity)</w:t>
            </w:r>
          </w:p>
        </w:tc>
        <w:tc>
          <w:tcPr>
            <w:tcW w:type="dxa" w:w="2285"/>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PDA s4</w:t>
            </w:r>
          </w:p>
        </w:tc>
        <w:tc>
          <w:tcPr>
            <w:tcW w:type="dxa" w:w="2108"/>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To be assessed</w:t>
            </w:r>
          </w:p>
        </w:tc>
      </w:tr>
      <w:tr>
        <w:tc>
          <w:tcPr>
            <w:tcW w:type="dxa" w:w="43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Consequential damages: lost CPUT programme (registration fees and associated costs)</w:t>
            </w:r>
          </w:p>
        </w:tc>
        <w:tc>
          <w:tcPr>
            <w:tcW w:type="dxa" w:w="22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PDA s4 / general damages</w:t>
            </w:r>
          </w:p>
        </w:tc>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To be quantified</w:t>
            </w:r>
          </w:p>
        </w:tc>
      </w:tr>
      <w:tr>
        <w:tc>
          <w:tcPr>
            <w:tcW w:type="dxa" w:w="439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Career destruction damages: loss of nursing registration and future earning capacity</w:t>
            </w:r>
          </w:p>
        </w:tc>
        <w:tc>
          <w:tcPr>
            <w:tcW w:type="dxa" w:w="2285"/>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PDA s4 / general damages</w:t>
            </w:r>
          </w:p>
        </w:tc>
        <w:tc>
          <w:tcPr>
            <w:tcW w:type="dxa" w:w="2108"/>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To be assessed</w:t>
            </w:r>
          </w:p>
        </w:tc>
      </w:tr>
      <w:tr>
        <w:tc>
          <w:tcPr>
            <w:tcW w:type="dxa" w:w="43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IP misappropriation / unjust enrichment: CPD Programme unlawfully appropriated without consent, attribution or compensation</w:t>
            </w:r>
          </w:p>
        </w:tc>
        <w:tc>
          <w:tcPr>
            <w:tcW w:type="dxa" w:w="22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Common law delict / unjust enrichment</w:t>
            </w:r>
          </w:p>
        </w:tc>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b w:val="false"/>
                <w:bCs w:val="false"/>
                <w:sz w:val="20"/>
                <w:szCs w:val="20"/>
              </w:rPr>
              <w:t xml:space="preserve">To be assessed</w:t>
            </w:r>
          </w:p>
        </w:tc>
      </w:tr>
      <w:tr>
        <w:tc>
          <w:tcPr>
            <w:tcW w:type="dxa" w:w="4394"/>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tcPr>
          <w:p>
            <w:pPr>
              <w:spacing w:line="360" w:lineRule="auto"/>
            </w:pPr>
            <w:r>
              <w:rPr>
                <w:rFonts w:ascii="Times New Roman" w:cs="Times New Roman" w:eastAsia="Times New Roman" w:hAnsi="Times New Roman"/>
                <w:b/>
                <w:bCs/>
                <w:sz w:val="20"/>
                <w:szCs w:val="20"/>
              </w:rPr>
              <w:t xml:space="preserve">TOTAL (known components)</w:t>
            </w:r>
          </w:p>
        </w:tc>
        <w:tc>
          <w:tcPr>
            <w:tcW w:type="dxa" w:w="2285"/>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tcPr>
          <w:p>
            <w:pPr>
              <w:spacing w:line="360" w:lineRule="auto"/>
            </w:pPr>
            <w:r>
              <w:rPr>
                <w:rFonts w:ascii="Times New Roman" w:cs="Times New Roman" w:eastAsia="Times New Roman" w:hAnsi="Times New Roman"/>
                <w:b/>
                <w:bCs/>
                <w:sz w:val="20"/>
                <w:szCs w:val="20"/>
              </w:rPr>
              <w:t xml:space="preserve"/>
            </w:r>
          </w:p>
        </w:tc>
        <w:tc>
          <w:tcPr>
            <w:tcW w:type="dxa" w:w="2108"/>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tcPr>
          <w:p>
            <w:pPr>
              <w:spacing w:line="360" w:lineRule="auto"/>
            </w:pPr>
            <w:r>
              <w:rPr>
                <w:rFonts w:ascii="Times New Roman" w:cs="Times New Roman" w:eastAsia="Times New Roman" w:hAnsi="Times New Roman"/>
                <w:b/>
                <w:bCs/>
                <w:sz w:val="20"/>
                <w:szCs w:val="20"/>
              </w:rPr>
              <w:t xml:space="preserve">R1,391,918.89 plus assessed amounts</w:t>
            </w:r>
          </w:p>
        </w:tc>
      </w:tr>
    </w:tbl>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Note: Items marked 'to be assessed' or 'to be quantified' will be supplemented by expert evidence and/or further particulars as the matter develops. The Applicant reserves the right to amend the quantum of the claim upon receipt of further documentation from the Respondents.</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R: RELIEF SOUGHT</w:t>
      </w:r>
    </w:p>
    <w:p>
      <w:pPr>
        <w:spacing w:line="360" w:lineRule="auto"/>
        <w:ind w:left="720"/>
      </w:pPr>
      <w:r>
        <w:rPr>
          <w:rFonts w:ascii="Times New Roman" w:cs="Times New Roman" w:eastAsia="Times New Roman" w:hAnsi="Times New Roman"/>
          <w:sz w:val="24"/>
          <w:szCs w:val="24"/>
        </w:rPr>
        <w:t xml:space="preserve">The Applicant respectfully prays for the following relief:</w:t>
      </w:r>
    </w:p>
    <w:p>
      <w:pPr>
        <w:spacing w:line="360" w:lineRule="auto"/>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A.  DECLARATORY RELIEF</w:t>
      </w:r>
    </w:p>
    <w:p>
      <w:pPr>
        <w:tabs>
          <w:tab w:val="left" w:pos="720"/>
        </w:tabs>
        <w:spacing w:line="360" w:lineRule="auto"/>
        <w:ind w:left="720" w:hanging="360"/>
      </w:pPr>
      <w:r>
        <w:rPr>
          <w:rFonts w:ascii="Times New Roman" w:cs="Times New Roman" w:eastAsia="Times New Roman" w:hAnsi="Times New Roman"/>
          <w:sz w:val="24"/>
          <w:szCs w:val="24"/>
        </w:rPr>
        <w:t xml:space="preserve">R.1.	A declaration that the Applicant's dismissal constitutes an automatically unfair constructive dismissal within the meaning of sections 186(1)(e) and 187(1)(h) of the LRA, on the grounds that the dominant reason for the dismissal was retaliation by the Respondents for the Applicant making protected disclosures as defined in the PDA.</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360"/>
      </w:pPr>
      <w:r>
        <w:rPr>
          <w:rFonts w:ascii="Times New Roman" w:cs="Times New Roman" w:eastAsia="Times New Roman" w:hAnsi="Times New Roman"/>
          <w:sz w:val="24"/>
          <w:szCs w:val="24"/>
        </w:rPr>
        <w:t xml:space="preserve">R.2.	Alternatively to R.1, a declaration that the dismissal was automatically unfair within the meaning of sections 186(1)(e) and 187(1)(f) of the LRA on the grounds that a dominant reason for the dismissal relates to the Applicant's disability.</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360"/>
      </w:pPr>
      <w:r>
        <w:rPr>
          <w:rFonts w:ascii="Times New Roman" w:cs="Times New Roman" w:eastAsia="Times New Roman" w:hAnsi="Times New Roman"/>
          <w:sz w:val="24"/>
          <w:szCs w:val="24"/>
        </w:rPr>
        <w:t xml:space="preserve">R.3.	Further alternatively, a declaration that the dismissal was unfair within the meaning of section 185 of the LRA.</w:t>
      </w:r>
    </w:p>
    <w:p>
      <w:pPr>
        <w:spacing w:line="360" w:lineRule="auto"/>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B.  COMPENSATION AND DAMAGES</w:t>
      </w:r>
    </w:p>
    <w:p>
      <w:pPr>
        <w:spacing w:line="360" w:lineRule="auto"/>
        <w:ind w:left="720" w:hanging="360"/>
      </w:pPr>
      <w:r>
        <w:rPr>
          <w:rFonts w:ascii="Times New Roman" w:cs="Times New Roman" w:eastAsia="Times New Roman" w:hAnsi="Times New Roman"/>
          <w:sz w:val="24"/>
          <w:szCs w:val="24"/>
        </w:rPr>
        <w:t xml:space="preserve">R.4.	An order that the First and/or Second Respondents pay the Applicant compensation equal to 24 months' remuneration as provided for in section 194(3) of the LRA for an automatically unfair dismissal, calculated at his monthly cost-to-company of R42,796.13 per month, amounting to R1,027,107.12, alternatively the maximum permissible compensation amount.</w:t>
      </w:r>
    </w:p>
    <w:p>
      <w:pPr>
        <w:spacing w:line="360" w:lineRule="auto"/>
      </w:pPr>
      <w:r>
        <w:rPr>
          <w:rFonts w:ascii="Times New Roman" w:cs="Times New Roman" w:eastAsia="Times New Roman" w:hAnsi="Times New Roman"/>
          <w:sz w:val="24"/>
          <w:szCs w:val="24"/>
        </w:rPr>
        <w:t xml:space="preserve"/>
      </w:r>
    </w:p>
    <w:p>
      <w:pPr>
        <w:spacing w:line="360" w:lineRule="auto"/>
        <w:ind w:left="720" w:hanging="360"/>
      </w:pPr>
      <w:r>
        <w:rPr>
          <w:rFonts w:ascii="Times New Roman" w:cs="Times New Roman" w:eastAsia="Times New Roman" w:hAnsi="Times New Roman"/>
          <w:sz w:val="24"/>
          <w:szCs w:val="24"/>
        </w:rPr>
        <w:t xml:space="preserve">R.5.	An order that the First and/or Second Respondents reimburse the Applicant the unlawfully deducted amount of R14,811.77 together with interest at the prescribed rate calculated from 23 July 2025 to the date of final payment, alternatively that this relief be granted in Case No. 2026-077546.</w:t>
      </w:r>
    </w:p>
    <w:p>
      <w:pPr>
        <w:spacing w:line="360" w:lineRule="auto"/>
      </w:pPr>
      <w:r>
        <w:rPr>
          <w:rFonts w:ascii="Times New Roman" w:cs="Times New Roman" w:eastAsia="Times New Roman" w:hAnsi="Times New Roman"/>
          <w:sz w:val="24"/>
          <w:szCs w:val="24"/>
        </w:rPr>
        <w:t xml:space="preserve"/>
      </w:r>
    </w:p>
    <w:p>
      <w:pPr>
        <w:spacing w:line="360" w:lineRule="auto"/>
        <w:ind w:left="720" w:hanging="360"/>
      </w:pPr>
      <w:r>
        <w:rPr>
          <w:rFonts w:ascii="Times New Roman" w:cs="Times New Roman" w:eastAsia="Times New Roman" w:hAnsi="Times New Roman"/>
          <w:sz w:val="24"/>
          <w:szCs w:val="24"/>
        </w:rPr>
        <w:t xml:space="preserve">R.6.	An order that the First and/or Second Respondents pay the Applicant compensation in terms of section 50(2) of the EEA for unfair discrimination on the grounds of sexual orientation, gender identity and disability, including solatium for injury to dignity in the amount of R350,000, alternatively such amount as this Court deems just and equitable.</w:t>
      </w:r>
    </w:p>
    <w:p>
      <w:pPr>
        <w:spacing w:line="360" w:lineRule="auto"/>
      </w:pPr>
      <w:r>
        <w:rPr>
          <w:rFonts w:ascii="Times New Roman" w:cs="Times New Roman" w:eastAsia="Times New Roman" w:hAnsi="Times New Roman"/>
          <w:sz w:val="24"/>
          <w:szCs w:val="24"/>
        </w:rPr>
        <w:t xml:space="preserve"/>
      </w:r>
    </w:p>
    <w:p>
      <w:pPr>
        <w:spacing w:line="360" w:lineRule="auto"/>
        <w:ind w:left="720" w:hanging="360"/>
      </w:pPr>
      <w:r>
        <w:rPr>
          <w:rFonts w:ascii="Times New Roman" w:cs="Times New Roman" w:eastAsia="Times New Roman" w:hAnsi="Times New Roman"/>
          <w:sz w:val="24"/>
          <w:szCs w:val="24"/>
        </w:rPr>
        <w:t xml:space="preserve">R.7.	An order that the First and/or Second Respondents pay the Applicant compensation for occupational detriment under section 4 of the PDA, including compensation for all financial loss, career destruction, loss of nursing registration, and the lost opportunity to pursue the CPUT Postgraduate Diploma in Occupational Health Nursing, in amounts to be assessed or proved.</w:t>
      </w:r>
    </w:p>
    <w:p>
      <w:pPr>
        <w:spacing w:line="360" w:lineRule="auto"/>
      </w:pPr>
      <w:r>
        <w:rPr>
          <w:rFonts w:ascii="Times New Roman" w:cs="Times New Roman" w:eastAsia="Times New Roman" w:hAnsi="Times New Roman"/>
          <w:sz w:val="24"/>
          <w:szCs w:val="24"/>
        </w:rPr>
        <w:t xml:space="preserve"/>
      </w:r>
    </w:p>
    <w:p>
      <w:pPr>
        <w:spacing w:line="360" w:lineRule="auto"/>
        <w:ind w:left="720" w:hanging="360"/>
      </w:pPr>
      <w:r>
        <w:rPr>
          <w:rFonts w:ascii="Times New Roman" w:cs="Times New Roman" w:eastAsia="Times New Roman" w:hAnsi="Times New Roman"/>
          <w:sz w:val="24"/>
          <w:szCs w:val="24"/>
        </w:rPr>
        <w:t xml:space="preserve">R.8.	An order that the First and/or Second Respondents pay the Applicant damages alternatively compensation for the unlawful misappropriation of his independently designed CPD Programme, calculated as: (a) damages for the unlawful appropriation of intellectual property; alternatively (b) reasonable compensation for unjust enrichment, quantified with reference to the licensing fee a willing licensor and willing licensee would have agreed; the quantum to be assessed or proved, with the Applicant reserving the right to call expert evidence.</w:t>
      </w:r>
    </w:p>
    <w:p>
      <w:pPr>
        <w:spacing w:line="360" w:lineRule="auto"/>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C.  CORRECTIVE ORDERS</w:t>
      </w:r>
    </w:p>
    <w:p>
      <w:pPr>
        <w:spacing w:line="360" w:lineRule="auto"/>
        <w:ind w:left="720" w:hanging="360"/>
      </w:pPr>
      <w:r>
        <w:rPr>
          <w:rFonts w:ascii="Times New Roman" w:cs="Times New Roman" w:eastAsia="Times New Roman" w:hAnsi="Times New Roman"/>
          <w:sz w:val="24"/>
          <w:szCs w:val="24"/>
        </w:rPr>
        <w:t xml:space="preserve">R.9.	An order directing the First and/or Second Respondents to issue a corrected Certificate of Service reflecting the Applicant's true designation as Health Services Management Nurse Specialist / Specialist: Care Manager (NQF Level 8) in compliance with section 42 of the BCEA, within 10 business days of the grant of this order.</w:t>
      </w:r>
    </w:p>
    <w:p>
      <w:pPr>
        <w:spacing w:line="360" w:lineRule="auto"/>
      </w:pPr>
      <w:r>
        <w:rPr>
          <w:rFonts w:ascii="Times New Roman" w:cs="Times New Roman" w:eastAsia="Times New Roman" w:hAnsi="Times New Roman"/>
          <w:sz w:val="24"/>
          <w:szCs w:val="24"/>
        </w:rPr>
        <w:t xml:space="preserve"/>
      </w:r>
    </w:p>
    <w:p>
      <w:pPr>
        <w:spacing w:line="360" w:lineRule="auto"/>
        <w:ind w:left="720" w:hanging="360"/>
      </w:pPr>
      <w:r>
        <w:rPr>
          <w:rFonts w:ascii="Times New Roman" w:cs="Times New Roman" w:eastAsia="Times New Roman" w:hAnsi="Times New Roman"/>
          <w:sz w:val="24"/>
          <w:szCs w:val="24"/>
        </w:rPr>
        <w:t xml:space="preserve">R.10.	An order directing the First and/or Second Respondents to remit the outstanding UIF contributions for June 2025 to the Unemployment Insurance Fund and to provide the Applicant with a corrected UI-19 form within 10 business days, in compliance with the Unemployment Insurance Contributions Act 4 of 2002 and section 37 of the Unemployment Insurance Act 63 of 2001.</w:t>
      </w:r>
    </w:p>
    <w:p>
      <w:pPr>
        <w:spacing w:line="360" w:lineRule="auto"/>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D.  COSTS</w:t>
      </w:r>
    </w:p>
    <w:p>
      <w:pPr>
        <w:spacing w:line="360" w:lineRule="auto"/>
        <w:ind w:left="720"/>
      </w:pPr>
      <w:r>
        <w:rPr>
          <w:rFonts w:ascii="Times New Roman" w:cs="Times New Roman" w:eastAsia="Times New Roman" w:hAnsi="Times New Roman"/>
          <w:sz w:val="24"/>
          <w:szCs w:val="24"/>
        </w:rPr>
        <w:t xml:space="preserve">R.11.	Costs of suit on an attorney-and-client scale, in terms of section 162 of the LRA and the inherent jurisdiction of this Court, having regard to:</w:t>
      </w:r>
    </w:p>
    <w:p>
      <w:pPr>
        <w:spacing w:line="360" w:lineRule="auto"/>
        <w:ind w:left="1440"/>
      </w:pPr>
      <w:r>
        <w:rPr>
          <w:rFonts w:ascii="Times New Roman" w:cs="Times New Roman" w:eastAsia="Times New Roman" w:hAnsi="Times New Roman"/>
          <w:sz w:val="24"/>
          <w:szCs w:val="24"/>
        </w:rPr>
        <w:t xml:space="preserve">(a)	the Respondents' bad faith conduct, including the filing of a defamatory opposing affidavit attacking the Applicant's diagnosed mental illness under oath;</w:t>
      </w:r>
    </w:p>
    <w:p>
      <w:pPr>
        <w:spacing w:line="360" w:lineRule="auto"/>
        <w:ind w:left="1440"/>
      </w:pPr>
      <w:r>
        <w:rPr>
          <w:rFonts w:ascii="Times New Roman" w:cs="Times New Roman" w:eastAsia="Times New Roman" w:hAnsi="Times New Roman"/>
          <w:sz w:val="24"/>
          <w:szCs w:val="24"/>
        </w:rPr>
        <w:t xml:space="preserve">(b)	the systematic institutional cover-up, whitewash investigations, and 30+ days of deliberate institutional silence;</w:t>
      </w:r>
    </w:p>
    <w:p>
      <w:pPr>
        <w:spacing w:line="360" w:lineRule="auto"/>
        <w:ind w:left="1440"/>
      </w:pPr>
      <w:r>
        <w:rPr>
          <w:rFonts w:ascii="Times New Roman" w:cs="Times New Roman" w:eastAsia="Times New Roman" w:hAnsi="Times New Roman"/>
          <w:sz w:val="24"/>
          <w:szCs w:val="24"/>
        </w:rPr>
        <w:t xml:space="preserve">(c)	the post-resignation victimisation through the fraudulent Certificate of Service and UIF non-declaration;</w:t>
      </w:r>
    </w:p>
    <w:p>
      <w:pPr>
        <w:spacing w:line="360" w:lineRule="auto"/>
        <w:ind w:left="1440"/>
      </w:pPr>
      <w:r>
        <w:rPr>
          <w:rFonts w:ascii="Times New Roman" w:cs="Times New Roman" w:eastAsia="Times New Roman" w:hAnsi="Times New Roman"/>
          <w:sz w:val="24"/>
          <w:szCs w:val="24"/>
        </w:rPr>
        <w:t xml:space="preserve">(d)	the CRO's gatekeeping communications designed to prevent Board-level accountability; and</w:t>
      </w:r>
    </w:p>
    <w:p>
      <w:pPr>
        <w:spacing w:line="360" w:lineRule="auto"/>
        <w:ind w:left="1440"/>
      </w:pPr>
      <w:r>
        <w:rPr>
          <w:rFonts w:ascii="Times New Roman" w:cs="Times New Roman" w:eastAsia="Times New Roman" w:hAnsi="Times New Roman"/>
          <w:sz w:val="24"/>
          <w:szCs w:val="24"/>
        </w:rPr>
        <w:t xml:space="preserve">(e)	the silent misappropriation of the Applicant's CPD Programme following its express rejection — conduct constituting institutional bad faith warranting censure.</w:t>
      </w:r>
    </w:p>
    <w:p>
      <w:pPr>
        <w:spacing w:line="360" w:lineRule="auto"/>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E.  FURTHER AND/OR ALTERNATIVE RELIEF</w:t>
      </w:r>
    </w:p>
    <w:p>
      <w:pPr>
        <w:spacing w:line="360" w:lineRule="auto"/>
        <w:ind w:left="720"/>
      </w:pPr>
      <w:r>
        <w:rPr>
          <w:rFonts w:ascii="Times New Roman" w:cs="Times New Roman" w:eastAsia="Times New Roman" w:hAnsi="Times New Roman"/>
          <w:sz w:val="24"/>
          <w:szCs w:val="24"/>
        </w:rPr>
        <w:t xml:space="preserve">R.12.	Further and/or alternative relief as this Honourable Court deems just and equitable in the circumstances.</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PART S: VERIFICATION AND DECLARATION</w:t>
      </w:r>
    </w:p>
    <w:p>
      <w:pPr>
        <w:spacing w:line="360" w:lineRule="auto"/>
        <w:ind w:left="720"/>
      </w:pPr>
      <w:r>
        <w:rPr>
          <w:rFonts w:ascii="Times New Roman" w:cs="Times New Roman" w:eastAsia="Times New Roman" w:hAnsi="Times New Roman"/>
          <w:sz w:val="24"/>
          <w:szCs w:val="24"/>
        </w:rPr>
        <w:t xml:space="preserve">I, WILBUR WILLIAM MATTHEE, the Applicant herein, declare that the facts set out in this Statement of Claim are within my personal knowledge, save where indicated to the contrary, and are to the best of my knowledge true and correct.</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tabs>
          <w:tab w:val="left" w:pos="2880"/>
        </w:tabs>
        <w:spacing w:line="360" w:lineRule="auto"/>
      </w:pPr>
      <w:r>
        <w:rPr>
          <w:rFonts w:ascii="Times New Roman" w:cs="Times New Roman" w:eastAsia="Times New Roman" w:hAnsi="Times New Roman"/>
          <w:sz w:val="24"/>
          <w:szCs w:val="24"/>
        </w:rPr>
        <w:t xml:space="preserve">Signature of Applicant:	_______________________________________________</w:t>
      </w:r>
    </w:p>
    <w:p>
      <w:pPr>
        <w:spacing w:line="360" w:lineRule="auto"/>
      </w:pPr>
      <w:r>
        <w:rPr>
          <w:rFonts w:ascii="Times New Roman" w:cs="Times New Roman" w:eastAsia="Times New Roman" w:hAnsi="Times New Roman"/>
          <w:sz w:val="24"/>
          <w:szCs w:val="24"/>
        </w:rPr>
        <w:t xml:space="preserve"/>
      </w:r>
    </w:p>
    <w:p>
      <w:pPr>
        <w:tabs>
          <w:tab w:val="left" w:pos="1440"/>
        </w:tabs>
        <w:spacing w:line="360" w:lineRule="auto"/>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WILBUR WILLIAM MATTHEE</w:t>
      </w:r>
    </w:p>
    <w:p>
      <w:pPr>
        <w:tabs>
          <w:tab w:val="left" w:pos="2160"/>
        </w:tabs>
        <w:spacing w:line="360" w:lineRule="auto"/>
      </w:pPr>
      <w:r>
        <w:rPr>
          <w:rFonts w:ascii="Times New Roman" w:cs="Times New Roman" w:eastAsia="Times New Roman" w:hAnsi="Times New Roman"/>
          <w:b/>
          <w:bCs/>
          <w:sz w:val="24"/>
          <w:szCs w:val="24"/>
        </w:rPr>
        <w:t xml:space="preserve">Identity Number:	</w:t>
      </w:r>
      <w:r>
        <w:rPr>
          <w:rFonts w:ascii="Times New Roman" w:cs="Times New Roman" w:eastAsia="Times New Roman" w:hAnsi="Times New Roman"/>
          <w:sz w:val="24"/>
          <w:szCs w:val="24"/>
        </w:rPr>
        <w:t xml:space="preserve">890903 5151 087</w:t>
      </w:r>
    </w:p>
    <w:p>
      <w:pPr>
        <w:tabs>
          <w:tab w:val="left" w:pos="1440"/>
        </w:tabs>
        <w:spacing w:line="360" w:lineRule="auto"/>
      </w:pPr>
      <w:r>
        <w:rPr>
          <w:rFonts w:ascii="Times New Roman" w:cs="Times New Roman" w:eastAsia="Times New Roman" w:hAnsi="Times New Roman"/>
          <w:b/>
          <w:bCs/>
          <w:sz w:val="24"/>
          <w:szCs w:val="24"/>
        </w:rPr>
        <w:t xml:space="preserve">Capacity:	</w:t>
      </w:r>
      <w:r>
        <w:rPr>
          <w:rFonts w:ascii="Times New Roman" w:cs="Times New Roman" w:eastAsia="Times New Roman" w:hAnsi="Times New Roman"/>
          <w:sz w:val="24"/>
          <w:szCs w:val="24"/>
        </w:rPr>
        <w:t xml:space="preserve">Applicant (Self-Represented)</w:t>
      </w:r>
    </w:p>
    <w:p>
      <w:pPr>
        <w:tabs>
          <w:tab w:val="left" w:pos="1080"/>
        </w:tabs>
        <w:spacing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info@ethichawks.co.za</w:t>
      </w:r>
    </w:p>
    <w:p>
      <w:pPr>
        <w:tabs>
          <w:tab w:val="left" w:pos="720"/>
        </w:tabs>
        <w:spacing w:line="360" w:lineRule="auto"/>
      </w:pPr>
      <w:r>
        <w:rPr>
          <w:rFonts w:ascii="Times New Roman" w:cs="Times New Roman" w:eastAsia="Times New Roman" w:hAnsi="Times New Roman"/>
          <w:b/>
          <w:bCs/>
          <w:sz w:val="24"/>
          <w:szCs w:val="24"/>
        </w:rPr>
        <w:t xml:space="preserve">Tel:	</w:t>
      </w:r>
      <w:r>
        <w:rPr>
          <w:rFonts w:ascii="Times New Roman" w:cs="Times New Roman" w:eastAsia="Times New Roman" w:hAnsi="Times New Roman"/>
          <w:sz w:val="24"/>
          <w:szCs w:val="24"/>
        </w:rPr>
        <w:t xml:space="preserve">069 635 1435 / 063 378 8782</w:t>
      </w:r>
    </w:p>
    <w:p>
      <w:pPr>
        <w:tabs>
          <w:tab w:val="left" w:pos="2520"/>
        </w:tabs>
        <w:spacing w:line="360" w:lineRule="auto"/>
      </w:pPr>
      <w:r>
        <w:rPr>
          <w:rFonts w:ascii="Times New Roman" w:cs="Times New Roman" w:eastAsia="Times New Roman" w:hAnsi="Times New Roman"/>
          <w:b/>
          <w:bCs/>
          <w:sz w:val="24"/>
          <w:szCs w:val="24"/>
        </w:rPr>
        <w:t xml:space="preserve">Address for service:	</w:t>
      </w:r>
      <w:r>
        <w:rPr>
          <w:rFonts w:ascii="Times New Roman" w:cs="Times New Roman" w:eastAsia="Times New Roman" w:hAnsi="Times New Roman"/>
          <w:sz w:val="24"/>
          <w:szCs w:val="24"/>
        </w:rPr>
        <w:t xml:space="preserve">15 Bellevue Street, Voorbrug, Cape Town, 7100</w:t>
      </w:r>
    </w:p>
    <w:p>
      <w:pPr>
        <w:spacing w:line="360" w:lineRule="auto"/>
      </w:pPr>
      <w:r>
        <w:rPr>
          <w:rFonts w:ascii="Times New Roman" w:cs="Times New Roman" w:eastAsia="Times New Roman" w:hAnsi="Times New Roman"/>
          <w:sz w:val="24"/>
          <w:szCs w:val="24"/>
        </w:rPr>
        <w:t xml:space="preserve"/>
      </w:r>
    </w:p>
    <w:p>
      <w:pPr>
        <w:tabs>
          <w:tab w:val="left" w:pos="3240"/>
        </w:tabs>
        <w:spacing w:line="360" w:lineRule="auto"/>
      </w:pPr>
      <w:r>
        <w:rPr>
          <w:rFonts w:ascii="Times New Roman" w:cs="Times New Roman" w:eastAsia="Times New Roman" w:hAnsi="Times New Roman"/>
          <w:sz w:val="24"/>
          <w:szCs w:val="24"/>
        </w:rPr>
        <w:t xml:space="preserve">Signed at CAPE TOWN on this:	_______________________________________________</w:t>
      </w:r>
    </w:p>
    <w:p>
      <w:pPr>
        <w:spacing w:line="360" w:lineRule="auto"/>
      </w:pPr>
      <w:r>
        <w:rPr>
          <w:rFonts w:ascii="Times New Roman" w:cs="Times New Roman" w:eastAsia="Times New Roman" w:hAnsi="Times New Roman"/>
          <w:sz w:val="24"/>
          <w:szCs w:val="24"/>
        </w:rPr>
        <w:t xml:space="preserve">Date: _____________ day of APRIL 2026</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SCHEDULE OF ANNEXURES</w:t>
      </w:r>
    </w:p>
    <w:p>
      <w:pPr>
        <w:spacing w:line="360" w:lineRule="auto"/>
        <w:ind w:left="720"/>
      </w:pPr>
      <w:r>
        <w:rPr>
          <w:rFonts w:ascii="Times New Roman" w:cs="Times New Roman" w:eastAsia="Times New Roman" w:hAnsi="Times New Roman"/>
          <w:sz w:val="24"/>
          <w:szCs w:val="24"/>
        </w:rPr>
        <w:t xml:space="preserve">The following documents are attached to and form part of this Statement of Claim. Each document is identified by the annexure reference used in the body of this Statement of Claim.</w:t>
      </w:r>
    </w:p>
    <w:p>
      <w:pPr>
        <w:spacing w:line="360" w:lineRule="auto"/>
      </w:pPr>
      <w:r>
        <w:rPr>
          <w:rFonts w:ascii="Times New Roman" w:cs="Times New Roman" w:eastAsia="Times New Roman" w:hAnsi="Times New Roman"/>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54"/>
        <w:gridCol w:w="5712"/>
        <w:gridCol w:w="2021"/>
      </w:tblGrid>
      <w:tr>
        <w:trPr>
          <w:tblHeader/>
        </w:trPr>
        <w:tc>
          <w:tcPr>
            <w:tcW w:type="dxa" w:w="1054"/>
            <w:tcBorders>
              <w:top w:val="single" w:color="000000" w:sz="4"/>
              <w:left w:val="single" w:color="000000" w:sz="4"/>
              <w:bottom w:val="single" w:color="000000" w:sz="4"/>
              <w:right w:val="single" w:color="000000" w:sz="4"/>
            </w:tcBorders>
            <w:shd w:fill="1F3864" w:val="clear"/>
            <w:tcMar>
              <w:top w:type="dxa" w:w="60"/>
              <w:left w:type="dxa" w:w="100"/>
              <w:bottom w:type="dxa" w:w="60"/>
              <w:right w:type="dxa" w:w="100"/>
            </w:tcMar>
          </w:tcPr>
          <w:p>
            <w:pPr>
              <w:spacing w:line="360" w:lineRule="auto"/>
            </w:pPr>
            <w:r>
              <w:rPr>
                <w:rFonts w:ascii="Times New Roman" w:cs="Times New Roman" w:eastAsia="Times New Roman" w:hAnsi="Times New Roman"/>
                <w:b/>
                <w:bCs/>
                <w:color w:val="FFFFFF"/>
                <w:sz w:val="20"/>
                <w:szCs w:val="20"/>
              </w:rPr>
              <w:t xml:space="preserve">Annexure</w:t>
            </w:r>
          </w:p>
        </w:tc>
        <w:tc>
          <w:tcPr>
            <w:tcW w:type="dxa" w:w="5712"/>
            <w:tcBorders>
              <w:top w:val="single" w:color="000000" w:sz="4"/>
              <w:left w:val="single" w:color="000000" w:sz="4"/>
              <w:bottom w:val="single" w:color="000000" w:sz="4"/>
              <w:right w:val="single" w:color="000000" w:sz="4"/>
            </w:tcBorders>
            <w:shd w:fill="1F3864" w:val="clear"/>
            <w:tcMar>
              <w:top w:type="dxa" w:w="60"/>
              <w:left w:type="dxa" w:w="100"/>
              <w:bottom w:type="dxa" w:w="60"/>
              <w:right w:type="dxa" w:w="100"/>
            </w:tcMar>
          </w:tcPr>
          <w:p>
            <w:pPr>
              <w:spacing w:line="360" w:lineRule="auto"/>
            </w:pPr>
            <w:r>
              <w:rPr>
                <w:rFonts w:ascii="Times New Roman" w:cs="Times New Roman" w:eastAsia="Times New Roman" w:hAnsi="Times New Roman"/>
                <w:b/>
                <w:bCs/>
                <w:color w:val="FFFFFF"/>
                <w:sz w:val="20"/>
                <w:szCs w:val="20"/>
              </w:rPr>
              <w:t xml:space="preserve">Description</w:t>
            </w:r>
          </w:p>
        </w:tc>
        <w:tc>
          <w:tcPr>
            <w:tcW w:type="dxa" w:w="2021"/>
            <w:tcBorders>
              <w:top w:val="single" w:color="000000" w:sz="4"/>
              <w:left w:val="single" w:color="000000" w:sz="4"/>
              <w:bottom w:val="single" w:color="000000" w:sz="4"/>
              <w:right w:val="single" w:color="000000" w:sz="4"/>
            </w:tcBorders>
            <w:shd w:fill="1F3864" w:val="clear"/>
            <w:tcMar>
              <w:top w:type="dxa" w:w="60"/>
              <w:left w:type="dxa" w:w="100"/>
              <w:bottom w:type="dxa" w:w="60"/>
              <w:right w:type="dxa" w:w="100"/>
            </w:tcMar>
          </w:tcPr>
          <w:p>
            <w:pPr>
              <w:spacing w:line="360" w:lineRule="auto"/>
            </w:pPr>
            <w:r>
              <w:rPr>
                <w:rFonts w:ascii="Times New Roman" w:cs="Times New Roman" w:eastAsia="Times New Roman" w:hAnsi="Times New Roman"/>
                <w:b/>
                <w:bCs/>
                <w:color w:val="FFFFFF"/>
                <w:sz w:val="20"/>
                <w:szCs w:val="20"/>
              </w:rPr>
              <w:t xml:space="preserve">Date</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"A"</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Interview invitations for 'Specialist: Care Manager' role</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January 2024</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"B"</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Assessment instructions and link – Specialist: Care Manager position</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29 January 2024</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"C"</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Fingerprint criminal check booking confirmation – pre-employment screening</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21 February 2024</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"D"</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Employment contract designating position as 'Care Coordinator' (Grade B4M1, CTC R490,032 p.a.)</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9 April 2024</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"E"</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First Aider roster drafted and implemented by Applicant as Acting Chair: EHS and Lead First Aider (2nd, 3rd and 4th floors)</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25 July 2025</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"F"</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Sick note: Dr Jacques Malan – Applicant unfit for work from 18 March 2025; admitted for 3–4 weeks inpatient treatment (severe depression, PTSD)</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1 April 2025</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"G"</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Mental health disclosure email to Mapule Mashele (Fourth Respondent): Dr Malan's psychiatric letter provided</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16 May 2025</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"H"</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Meeting feedback from Mary-Ann Jones (Third Respondent): 'we do not apply staggering of money owed'</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16 April 2025</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"I"</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Payslip for July 2025 confirming net pay of R15,679.29 and deduction of R14,811.77 (40.47% of gross)</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July 2025</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"J"</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AOD Policy screenshot confirming 25% cap on deductions; exchange in which Jones states 'what is illegal?' after acknowledging cap</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24 July 2025</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"K"</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'Wilma' Microsoft Teams message posted by Mary-Ann Jones in team-wide channel immediately after Applicant proposed filtering strategy; 'NO FILTERING' in red</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23 September 2025</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"L"</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Formal complaint of sexual orientation discrimination and harassment (11 pages) filed with HR</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25 September 2025</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"M"</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Mashele's investigation closure report: 'typo' finding; Applicant not removed from Jones's team</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1 October 2025</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"N"</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Gexus/DMS root cause analysis and protected disclosure to Jones and Lisa Mari (Fifth Respondent) regarding false non-adherence letters to GEMS members</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23 October 2025</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"N1"</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CPD Programme submission by Applicant to Third Respondent (Jones) and operational management (April 2025); written or verbal rejection; October 2025 departmental implementation without attribution or compensation</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April &amp; October 2025</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"O"</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Transcript and/or recording of 31 October 2025 meeting: Jones's retaliatory admission ('You made a case of harassment against me, so I can make a case of harassment against you')</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31 October 2025</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"P"</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Formal grievance against Mary-Ann Jones (malicious intent, gaslighting, retaliation, institutional silence)</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 November 2025</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"Q"</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Executive escalation to leadership (32-page evidence bundle, requests for paid leave, financial settlement, written guarantee)</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4 December 2025</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"R"</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Employer's opposing affidavit in CCMA Case WECT23564-25 (personal attacks on Applicant's character and mental health; request for costs)</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10 December 2025</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"S"</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Resignation letter citing opposing affidavit as final intolerable act</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11 December 2025</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"T"</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CPUT Postgraduate Diploma in Occupational Health Nursing acceptance letter (lost opportunity due to financial sabotage)</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2026</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"U"</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uFiling portal screenshot confirming 'No Information' for June 2025 UIF period</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2026</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"V"</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Certificate of Service (disputed designation); request for 'Naming Convention' meeting recording</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January 2026</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"W"</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CMS referral letter identifying 'Administrative Misconduct and Ethical Failure'</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2026</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"X"</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SAHRC acknowledgment of seriousness of allegations of victimisation and financial prejudice</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2026</w:t>
            </w:r>
          </w:p>
        </w:tc>
      </w:tr>
      <w:tr>
        <w:tc>
          <w:tcPr>
            <w:tcW w:type="dxa" w:w="1054"/>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"Y"</w:t>
            </w:r>
          </w:p>
        </w:tc>
        <w:tc>
          <w:tcPr>
            <w:tcW w:type="dxa" w:w="5712"/>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CCMA Certificates of Non-Resolution: WECT23564-25 and WECT24486-25</w:t>
            </w:r>
          </w:p>
        </w:tc>
        <w:tc>
          <w:tcPr>
            <w:tcW w:type="dxa" w:w="2021"/>
            <w:tcBorders>
              <w:top w:val="single" w:color="000000" w:sz="4"/>
              <w:left w:val="single" w:color="000000" w:sz="4"/>
              <w:bottom w:val="single" w:color="000000" w:sz="4"/>
              <w:right w:val="single" w:color="000000" w:sz="4"/>
            </w:tcBorders>
            <w:shd w:fill="E8EDF4" w:val="clear"/>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9 January 2026</w:t>
            </w:r>
          </w:p>
        </w:tc>
      </w:tr>
      <w:tr>
        <w:tc>
          <w:tcPr>
            <w:tcW w:type="dxa" w:w="1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"Z"</w:t>
            </w:r>
          </w:p>
        </w:tc>
        <w:tc>
          <w:tcPr>
            <w:tcW w:type="dxa" w:w="5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EthicHawks Full Master Chronological Register (148 entries, 11 January 2024 – 2 April 2026)</w:t>
            </w:r>
          </w:p>
        </w:tc>
        <w:tc>
          <w:tcPr>
            <w:tcW w:type="dxa" w:w="20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pPr>
            <w:r>
              <w:rPr>
                <w:rFonts w:ascii="Times New Roman" w:cs="Times New Roman" w:eastAsia="Times New Roman" w:hAnsi="Times New Roman"/>
                <w:sz w:val="20"/>
                <w:szCs w:val="20"/>
              </w:rPr>
              <w:t xml:space="preserve">3 April 2026</w:t>
            </w:r>
          </w:p>
        </w:tc>
      </w:tr>
    </w:tbl>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NOTE ON FILING AND SERVICE</w:t>
      </w:r>
    </w:p>
    <w:p>
      <w:pPr>
        <w:spacing w:line="360" w:lineRule="auto"/>
        <w:ind w:left="720"/>
      </w:pPr>
      <w:r>
        <w:rPr>
          <w:rFonts w:ascii="Times New Roman" w:cs="Times New Roman" w:eastAsia="Times New Roman" w:hAnsi="Times New Roman"/>
          <w:sz w:val="24"/>
          <w:szCs w:val="24"/>
        </w:rPr>
        <w:t xml:space="preserve">1.	This Statement of Claim is to be filed with the Registrar of the Labour Court, Cape Town, in accordance with Rule 6 of the Rules for the Conduct of Proceedings before the Labour Court (GN 1665 of 14 October 2011).</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2.	Copies of this Statement of Claim and the attached annexures are to be served on each Respondent in accordance with Rule 7 of the Labour Court Rules. The Applicant respectfully requests the Registrar's assistance with effecting service on the First and Second Respondents at their registered addresses, given the Applicant's self-represented status and financial constraints.</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3.	In accordance with section 191(11) of the LRA, the filing of this Statement of Claim within 90 days of the issue of the CCMA Certificates of Non-Resolution (9 January 2026) is confirmed. The deadline for filing is 9 April 2026.</w:t>
      </w:r>
    </w:p>
    <w:p>
      <w:pPr>
        <w:spacing w:line="360" w:lineRule="auto"/>
      </w:pPr>
      <w:r>
        <w:rPr>
          <w:rFonts w:ascii="Times New Roman" w:cs="Times New Roman" w:eastAsia="Times New Roman" w:hAnsi="Times New Roman"/>
          <w:sz w:val="24"/>
          <w:szCs w:val="24"/>
        </w:rPr>
        <w:t xml:space="preserve"/>
      </w:r>
    </w:p>
    <w:p>
      <w:pPr>
        <w:spacing w:line="360" w:lineRule="auto"/>
        <w:ind w:left="720"/>
      </w:pPr>
      <w:r>
        <w:rPr>
          <w:rFonts w:ascii="Times New Roman" w:cs="Times New Roman" w:eastAsia="Times New Roman" w:hAnsi="Times New Roman"/>
          <w:sz w:val="24"/>
          <w:szCs w:val="24"/>
        </w:rPr>
        <w:t xml:space="preserve">4.	This document has been filed on the OCJ Court Online system (Case No: 2026-077546 refers to the concurrent BCEA claim). A new case number for this Statement of Claim is to be allocated by the Registrar.</w:t>
      </w:r>
    </w:p>
    <w:sectPr>
      <w:headerReference w:type="default" r:id="rId7"/>
      <w:footerReference w:type="default" r:id="rId8"/>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8787"/>
      </w:tabs>
      <w:spacing w:before="80"/>
    </w:pPr>
    <w:r>
      <w:rPr>
        <w:rFonts w:ascii="Times New Roman" w:cs="Times New Roman" w:eastAsia="Times New Roman" w:hAnsi="Times New Roman"/>
        <w:i/>
        <w:iCs/>
        <w:sz w:val="20"/>
        <w:szCs w:val="20"/>
      </w:rPr>
      <w:t xml:space="preserve">Matthee v AfroCentric Health (RF) (Pty) Ltd &amp; Others</w:t>
    </w:r>
    <w:r>
      <w:rPr>
        <w:rFonts w:ascii="Times New Roman" w:cs="Times New Roman" w:eastAsia="Times New Roman" w:hAnsi="Times New Roman"/>
        <w:sz w:val="20"/>
        <w:szCs w:val="20"/>
      </w:rPr>
      <w:t xml:space="preserve">	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80"/>
    </w:pPr>
    <w:r>
      <w:rPr>
        <w:rFonts w:ascii="Times New Roman" w:cs="Times New Roman" w:eastAsia="Times New Roman" w:hAnsi="Times New Roman"/>
        <w:b/>
        <w:bCs/>
        <w:color w:val="1F3864"/>
        <w:sz w:val="20"/>
        <w:szCs w:val="20"/>
      </w:rPr>
      <w:t xml:space="preserve">LABOUR COURT OF SOUTH AFRICA – CAPE TOWN  |  STATEMENT OF CLAIM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2026-04-06T08:58:37.002Z</dcterms:created>
  <dcterms:modified xsi:type="dcterms:W3CDTF">2026-04-06T08:58:37.003Z</dcterms:modified>
</cp:coreProperties>
</file>

<file path=docProps/custom.xml><?xml version="1.0" encoding="utf-8"?>
<Properties xmlns="http://schemas.openxmlformats.org/officeDocument/2006/custom-properties" xmlns:vt="http://schemas.openxmlformats.org/officeDocument/2006/docPropsVTypes"/>
</file>