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aps/>
          <w:color w:val="2E4057"/>
          <w:sz w:val="28"/>
          <w:szCs w:val="28"/>
        </w:rPr>
        <w:t xml:space="preserve">MATTHEE v AFROCENTRIC HEALTH &amp; OTHERS</w:t>
      </w:r>
    </w:p>
    <w:p>
      <w:pPr>
        <w:spacing w:before="0" w:after="60"/>
        <w:jc w:val="center"/>
      </w:pPr>
      <w:r>
        <w:rPr>
          <w:color w:val="555555"/>
          <w:sz w:val="22"/>
          <w:szCs w:val="22"/>
        </w:rPr>
        <w:t xml:space="preserve">Labour Court, Cape Town</w:t>
      </w:r>
    </w:p>
    <w:p>
      <w:pPr>
        <w:spacing w:before="0" w:after="300"/>
        <w:jc w:val="center"/>
      </w:pPr>
      <w:r>
        <w:rPr>
          <w:b/>
          <w:bCs/>
          <w:color w:val="C0392B"/>
          <w:sz w:val="26"/>
          <w:szCs w:val="26"/>
        </w:rPr>
        <w:t xml:space="preserve">CROSS-REFERENCE ANALYSIS: NOTICE OF MOTION v FOUNDING AFFIDAVIT</w:t>
      </w:r>
    </w:p>
    <w:p>
      <w:pPr>
        <w:spacing w:before="0" w:after="60"/>
        <w:jc w:val="center"/>
      </w:pPr>
      <w:r>
        <w:rPr>
          <w:i/>
          <w:iCs/>
          <w:color w:val="777777"/>
          <w:sz w:val="20"/>
          <w:szCs w:val="20"/>
        </w:rPr>
        <w:t xml:space="preserve">Prepared: March 2026  |  NOM Version: v6.6  |  FA Version: v11</w:t>
      </w:r>
    </w:p>
    <w:p>
      <w:pPr>
        <w:pBdr>
          <w:bottom w:val="single" w:color="2E4057" w:sz="6" w:space="1"/>
        </w:pBdr>
        <w:spacing w:before="120" w:after="360"/>
      </w:pPr>
    </w:p>
    <w:p>
      <w:pPr>
        <w:pStyle w:val="Heading1"/>
        <w:spacing w:before="360" w:after="120"/>
      </w:pPr>
      <w:r>
        <w:rPr>
          <w:b/>
          <w:bCs/>
          <w:color w:val="2E4057"/>
          <w:sz w:val="28"/>
          <w:szCs w:val="28"/>
        </w:rPr>
        <w:t xml:space="preserve">EXECUTIVE SUMMARY</w:t>
      </w:r>
    </w:p>
    <w:p>
      <w:pPr>
        <w:spacing w:before="80" w:after="80"/>
      </w:pPr>
      <w:r>
        <w:rPr>
          <w:sz w:val="22"/>
          <w:szCs w:val="22"/>
        </w:rPr>
        <w:t xml:space="preserve">Both documents are substantially aligned. The party descriptions, annexure set (A–K), legal framework (BCEA ss34(1) and 34(2), EEA), and core facts are consistent. However, five issues require immediate attention before service on the respondents, ranging from a critical gap (the Founding Affidavit does not address the urgent interim relief prayer) to several moderate and minor discrepancies detailed below.</w:t>
      </w:r>
    </w:p>
    <w:p>
      <w:pPr>
        <w:spacing w:before="200" w:after="80"/>
      </w:pPr>
      <w:r>
        <w:rPr>
          <w:b/>
          <w:bCs/>
          <w:color w:val="2E4057"/>
          <w:sz w:val="24"/>
          <w:szCs w:val="24"/>
        </w:rPr>
        <w:t xml:space="preserve">Overall Correlation Status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680"/>
      </w:tblGrid>
      <w:tr>
        <w:trPr>
          <w:tblHeader/>
        </w:trPr>
        <w:tc>
          <w:tcPr>
            <w:tcW w:type="dxa" w:w="30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Element</w:t>
            </w:r>
          </w:p>
        </w:tc>
        <w:tc>
          <w:tcPr>
            <w:tcW w:type="dxa" w:w="22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NOM Status</w:t>
            </w:r>
          </w:p>
        </w:tc>
        <w:tc>
          <w:tcPr>
            <w:tcW w:type="dxa" w:w="22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FA Status</w:t>
            </w:r>
          </w:p>
        </w:tc>
        <w:tc>
          <w:tcPr>
            <w:tcW w:type="dxa" w:w="168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Result</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Caption / parties</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3 respondents, correct roles</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3 respondents, correct roles</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Annexures A–K</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All listed (pp.7–8)</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All listed (p.17–18)</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Prayer s34(1) declaration</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1.1</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27.1(b)</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Prayer s34(2) declaration</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1.3</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27.1(c)</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Repayment R14,811.77</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2.1</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27.1(e)</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Solatium R50,000</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2.2 (7 grounds)</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27.1(e-bis) (7 grounds)</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Urgent interim relief R14,811.77</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2.3 (8 grounds)</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NOT PLEADED</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C0392B"/>
                <w:sz w:val="18"/>
                <w:szCs w:val="18"/>
              </w:rPr>
              <w:t xml:space="preserve">✗ GAP</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Interest from 23 July 2025</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3.1</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27.1(f)</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Punitive costs</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4.1 (6 grounds)</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27.1(g)</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Reservation of rights</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5.1</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28.1</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EEA disability discrimination</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NOT DECLARED (para 5.1 only)</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19 — fully pleaded</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C0392B"/>
                <w:sz w:val="18"/>
                <w:szCs w:val="18"/>
              </w:rPr>
              <w:t xml:space="preserve">✗ GAP</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BBBEE Commission complaint</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Not referenced</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24.B — disclosed</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C0392B"/>
                <w:sz w:val="18"/>
                <w:szCs w:val="18"/>
              </w:rPr>
              <w:t xml:space="preserve">✗ GAP</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Debt spiral / Annexure D detail</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2.3(vii) — referenced</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 14.1 — referenced</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Joint employer liability</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Preamble + para 2.1</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8"/>
                <w:szCs w:val="18"/>
              </w:rPr>
              <w:t xml:space="preserve">Paras 4.1–4.2, 21.1</w:t>
            </w:r>
          </w:p>
        </w:tc>
        <w:tc>
          <w:tcPr>
            <w:tcW w:type="dxa" w:w="1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1E8449"/>
                <w:sz w:val="18"/>
                <w:szCs w:val="18"/>
              </w:rPr>
              <w:t xml:space="preserve">✓ ALIGNED</w:t>
            </w:r>
          </w:p>
        </w:tc>
      </w:tr>
    </w:tbl>
    <w:p>
      <w:pPr>
        <w:spacing w:before="400"/>
      </w:pPr>
    </w:p>
    <w:p>
      <w:pPr>
        <w:pStyle w:val="Heading1"/>
        <w:spacing w:before="360" w:after="120"/>
      </w:pPr>
      <w:r>
        <w:rPr>
          <w:b/>
          <w:bCs/>
          <w:color w:val="2E4057"/>
          <w:sz w:val="28"/>
          <w:szCs w:val="28"/>
        </w:rPr>
        <w:t xml:space="preserve">ISSUES REQUIRING ATTENTION</w:t>
      </w:r>
    </w:p>
    <w:p>
      <w:pPr>
        <w:spacing w:before="80" w:after="80"/>
      </w:pPr>
      <w:r>
        <w:rPr>
          <w:sz w:val="22"/>
          <w:szCs w:val="22"/>
        </w:rPr>
        <w:t xml:space="preserve">The following issues are listed in priority order. Critical issues must be resolved before filing. Moderate issues are strongly recommended. Minor issues are cosmetic/consistency fixes.</w:t>
      </w:r>
    </w:p>
    <w:p>
      <w:pPr>
        <w:spacing w:before="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200"/>
        <w:gridCol w:w="900"/>
        <w:gridCol w:w="900"/>
        <w:gridCol w:w="1800"/>
        <w:gridCol w:w="700"/>
      </w:tblGrid>
      <w:tr>
        <w:trPr>
          <w:tblHeader/>
        </w:trPr>
        <w:tc>
          <w:tcPr>
            <w:tcW w:type="dxa" w:w="4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w:t>
            </w:r>
          </w:p>
        </w:tc>
        <w:tc>
          <w:tcPr>
            <w:tcW w:type="dxa" w:w="12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Category</w:t>
            </w:r>
          </w:p>
        </w:tc>
        <w:tc>
          <w:tcPr>
            <w:tcW w:type="dxa" w:w="32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Issue</w:t>
            </w:r>
          </w:p>
        </w:tc>
        <w:tc>
          <w:tcPr>
            <w:tcW w:type="dxa" w:w="9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NOM Ref</w:t>
            </w:r>
          </w:p>
        </w:tc>
        <w:tc>
          <w:tcPr>
            <w:tcW w:type="dxa" w:w="9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FA Ref</w:t>
            </w:r>
          </w:p>
        </w:tc>
        <w:tc>
          <w:tcPr>
            <w:tcW w:type="dxa" w:w="18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Required Action</w:t>
            </w:r>
          </w:p>
        </w:tc>
        <w:tc>
          <w:tcPr>
            <w:tcW w:type="dxa" w:w="700"/>
            <w:tcBorders>
              <w:top w:val="single" w:color="2E4057" w:sz="4"/>
              <w:left w:val="single" w:color="2E4057" w:sz="4"/>
              <w:bottom w:val="single" w:color="2E4057" w:sz="4"/>
              <w:right w:val="single" w:color="2E4057" w:sz="4"/>
            </w:tcBorders>
            <w:shd w:fill="2E4057" w:val="clear"/>
            <w:tcMar>
              <w:top w:type="dxa" w:w="80"/>
              <w:left w:type="dxa" w:w="100"/>
              <w:bottom w:type="dxa" w:w="80"/>
              <w:right w:type="dxa" w:w="100"/>
            </w:tcMar>
          </w:tcPr>
          <w:p>
            <w:r>
              <w:rPr>
                <w:b/>
                <w:bCs/>
                <w:color w:val="FFFFFF"/>
                <w:sz w:val="18"/>
                <w:szCs w:val="18"/>
              </w:rPr>
              <w:t xml:space="preserve">Severity</w:t>
            </w:r>
          </w:p>
        </w:tc>
      </w:tr>
      <w:tr>
        <w:tc>
          <w:tcPr>
            <w:tcW w:type="dxa" w:w="4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333333"/>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Missing FA Support</w:t>
            </w:r>
          </w:p>
        </w:tc>
        <w:tc>
          <w:tcPr>
            <w:tcW w:type="dxa" w:w="3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NOM Para 2.3 contains 8 grounds for urgent interim relief (eviction, destitution, prima facie right, irreparable harm, balance of convenience, no alternative remedy, urgency). None of these grounds are supported by sworn evidence in the FA. A court cannot grant interim relief on NOM submissions alone — the FA must contain sworn averments supporting each ground.</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2.3(i)–(viii)</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ABSENT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Add a new Part (e.g. Part F: Urgency and Interim Relief) to the FA with sworn averments for each of the 8 grounds in NOM Para 2.3. Key facts: 4 months rent arrears, verbal eviction warning, no running water, destitution, no UIF access, debt spiral disclosure (Annexure D), R14,811.77 vs R48.4m group revenue.</w:t>
            </w:r>
          </w:p>
        </w:tc>
        <w:tc>
          <w:tcPr>
            <w:tcW w:type="dxa" w:w="7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C0392B"/>
                <w:sz w:val="18"/>
                <w:szCs w:val="18"/>
              </w:rPr>
              <w:t xml:space="preserve">CRITICAL</w:t>
            </w:r>
          </w:p>
        </w:tc>
      </w:tr>
      <w:tr>
        <w:tc>
          <w:tcPr>
            <w:tcW w:type="dxa" w:w="4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333333"/>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EEA Declaration Gap</w:t>
            </w:r>
          </w:p>
        </w:tc>
        <w:tc>
          <w:tcPr>
            <w:tcW w:type="dxa" w:w="3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The FA fully pleads unfair discrimination and failure of reasonable accommodation under EEA s6 (FA Para 19, 3 paragraphs). The NOM does not contain a corresponding declaratory prayer. The EEA ground is only preserved under the general reservation of rights (NOM Para 5.1) — this is insufficient if the Applicant wishes to obtain a declaration in this application.</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5.1 only</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19.1–19.3</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Add a new declaratory prayer in NOM Para 1 (e.g. Para 1.4): 'DECLARING that the Respondents failed to make reasonable accommodation for the Applicant's documented psychiatric disability in breach of Section 6 of the Employment Equity Act 55 of 1998.' This transforms the pleaded EEA ground into actionable declaratory relief.</w:t>
            </w:r>
          </w:p>
        </w:tc>
        <w:tc>
          <w:tcPr>
            <w:tcW w:type="dxa" w:w="7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E67E22"/>
                <w:sz w:val="18"/>
                <w:szCs w:val="18"/>
              </w:rPr>
              <w:t xml:space="preserve">MODERATE</w:t>
            </w:r>
          </w:p>
        </w:tc>
      </w:tr>
      <w:tr>
        <w:tc>
          <w:tcPr>
            <w:tcW w:type="dxa" w:w="4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333333"/>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Solatium Factor (vi) — Wording Discrepancy</w:t>
            </w:r>
          </w:p>
        </w:tc>
        <w:tc>
          <w:tcPr>
            <w:tcW w:type="dxa" w:w="3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NOM Para 2.2(vi) reads 'the false sworn statement dismissing severe mental illness as an excuse.' FA Para 27.1(e-bis) reads identically. Both reference the Manyathi CCMA affidavit (FA Para 9.1–9.4). However the FA includes detailed analysis (Para 9.2–9.4) with perjury reservation — this richer context should be expressly cross-referenced.</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2.2(vi)</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27.1(e-bis)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Minor: Consider adding a footnote or parenthetical in NOM Para 2.2(vi) referencing 'as set out in FA Paragraphs 9.1–9.4' so the court can navigate directly. Not essential but improves readability.</w:t>
            </w:r>
          </w:p>
        </w:tc>
        <w:tc>
          <w:tcPr>
            <w:tcW w:type="dxa" w:w="7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27AE60"/>
                <w:sz w:val="18"/>
                <w:szCs w:val="18"/>
              </w:rPr>
              <w:t xml:space="preserve">MINOR</w:t>
            </w:r>
          </w:p>
        </w:tc>
      </w:tr>
      <w:tr>
        <w:tc>
          <w:tcPr>
            <w:tcW w:type="dxa" w:w="4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333333"/>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BBBEE Commission — Consistency</w:t>
            </w:r>
          </w:p>
        </w:tc>
        <w:tc>
          <w:tcPr>
            <w:tcW w:type="dxa" w:w="3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FA Para 24.B discloses the BBBEE Commission complaint (Case No. 5/2/2026) and the pending summons request for the Naming Convention recording. The NOM does not reference this at all. While the FA correctly characterises it as a separate proceeding, the punitive costs grounds in NOM Para 4.1 do not include it.</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4.1 (a)–(f)</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24.B</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Consider whether to add a sub-paragraph (g) to NOM Para 4.1 referencing the B-BBEE Commission complaint as further evidence of institutional bad faith, consistent with FA Para 24.B. This is optional — the FA disclosure is sufficient — but alignment would strengthen the costs argument.</w:t>
            </w:r>
          </w:p>
        </w:tc>
        <w:tc>
          <w:tcPr>
            <w:tcW w:type="dxa" w:w="7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27AE60"/>
                <w:sz w:val="18"/>
                <w:szCs w:val="18"/>
              </w:rPr>
              <w:t xml:space="preserve">MINOR</w:t>
            </w:r>
          </w:p>
        </w:tc>
      </w:tr>
      <w:tr>
        <w:tc>
          <w:tcPr>
            <w:tcW w:type="dxa" w:w="4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333333"/>
                <w:sz w:val="18"/>
                <w:szCs w:val="18"/>
              </w:rPr>
              <w:t xml:space="preserve">5</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FA Numbering Error</w:t>
            </w:r>
          </w:p>
        </w:tc>
        <w:tc>
          <w:tcPr>
            <w:tcW w:type="dxa" w:w="3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The FA contains a numbering error: Para 24 appears twice — once for 'Suppression of the Naming Convention Recording' and again as '24. B-BBEE Commission Complaint'. The second Para 24 should be numbered Para 25, which then shifts Para 25 (B-BBEE) to Para 25 and Para 26 (Bad Faith) to Para 26. The current FA has Para 25 starting at '25.1' but referenced as 'B-BBEE Commission Complaint — Case Number 5/2/2026' under Para numbering 24.B. The prayer in Para 27 correctly references numbered paragraphs but the numbering misalignment may cause confusion in court.</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N/A</w:t>
            </w:r>
          </w:p>
        </w:tc>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Para 24 (duplicate)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val="false"/>
                <w:bCs w:val="false"/>
                <w:color w:val="333333"/>
                <w:sz w:val="18"/>
                <w:szCs w:val="18"/>
              </w:rPr>
              <w:t xml:space="preserve">Renumber FA: current Para 24.B should become Para 25. Current Para 26 (Bad Faith) should become Para 26 (no change needed if 25 is inserted). Update all cross-references within the FA accordingly.</w:t>
            </w:r>
          </w:p>
        </w:tc>
        <w:tc>
          <w:tcPr>
            <w:tcW w:type="dxa" w:w="7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b/>
                <w:bCs/>
                <w:color w:val="E67E22"/>
                <w:sz w:val="18"/>
                <w:szCs w:val="18"/>
              </w:rPr>
              <w:t xml:space="preserve">MODERATE</w:t>
            </w:r>
          </w:p>
        </w:tc>
      </w:tr>
    </w:tbl>
    <w:p>
      <w:pPr>
        <w:spacing w:before="400"/>
      </w:pPr>
    </w:p>
    <w:p>
      <w:pPr>
        <w:pStyle w:val="Heading1"/>
        <w:spacing w:before="360" w:after="120"/>
      </w:pPr>
      <w:r>
        <w:rPr>
          <w:b/>
          <w:bCs/>
          <w:color w:val="2E4057"/>
          <w:sz w:val="28"/>
          <w:szCs w:val="28"/>
        </w:rPr>
        <w:t xml:space="preserve">DETAILED ELEMENT-BY-ELEMENT CORRELATION</w:t>
      </w:r>
    </w:p>
    <w:p>
      <w:pPr>
        <w:pStyle w:val="Heading2"/>
        <w:spacing w:before="240" w:after="80"/>
      </w:pPr>
      <w:r>
        <w:rPr>
          <w:b/>
          <w:bCs/>
          <w:color w:val="1F618D"/>
          <w:sz w:val="24"/>
          <w:szCs w:val="24"/>
        </w:rPr>
        <w:t xml:space="preserve">1. Parties and Caption</w:t>
      </w:r>
    </w:p>
    <w:p>
      <w:pPr>
        <w:spacing w:before="80" w:after="80"/>
      </w:pPr>
      <w:r>
        <w:rPr>
          <w:sz w:val="22"/>
          <w:szCs w:val="22"/>
        </w:rPr>
        <w:t xml:space="preserve">Both documents are fully aligned. The caption in each document identifies the same three respondents with identical registration numbers, roles, and addresses. The Applicant's personal details (address, contact) are consistent across both.</w:t>
      </w:r>
    </w:p>
    <w:p>
      <w:pPr>
        <w:pStyle w:val="Heading2"/>
        <w:spacing w:before="240" w:after="80"/>
      </w:pPr>
      <w:r>
        <w:rPr>
          <w:b/>
          <w:bCs/>
          <w:color w:val="1F618D"/>
          <w:sz w:val="24"/>
          <w:szCs w:val="24"/>
        </w:rPr>
        <w:t xml:space="preserve">2. Annexures A–K</w:t>
      </w:r>
    </w:p>
    <w:p>
      <w:pPr>
        <w:spacing w:before="80" w:after="80"/>
      </w:pPr>
      <w:r>
        <w:rPr>
          <w:sz w:val="22"/>
          <w:szCs w:val="22"/>
        </w:rPr>
        <w:t xml:space="preserve">Both documents list identical annexures A through K at their conclusion. The NOM (pp.7–8) and FA (pp.17–18) describe each annexure in materially identical language. No discrepancies were identified in the annexure descriptions.</w:t>
      </w:r>
    </w:p>
    <w:p>
      <w:pPr>
        <w:spacing w:before="80" w:after="80"/>
      </w:pPr>
      <w:r>
        <w:rPr>
          <w:sz w:val="22"/>
          <w:szCs w:val="22"/>
        </w:rPr>
        <w:t xml:space="preserve">Note: NOM Annexure B is described as 'HCBP Policy Screenshot (24 July 2025)' — the FA at Para 11.1 cross-references this as 'Annexure B is the Ill-Health and Incapacity Policy screenshot.' These descriptions are substantively the same document and the cross-reference is correct.</w:t>
      </w:r>
    </w:p>
    <w:p>
      <w:pPr>
        <w:pStyle w:val="Heading2"/>
        <w:spacing w:before="240" w:after="80"/>
      </w:pPr>
      <w:r>
        <w:rPr>
          <w:b/>
          <w:bCs/>
          <w:color w:val="1F618D"/>
          <w:sz w:val="24"/>
          <w:szCs w:val="24"/>
        </w:rPr>
        <w:t xml:space="preserve">3. Core Legal Grounds — BCEA s34(1) and s34(2)</w:t>
      </w:r>
    </w:p>
    <w:p>
      <w:pPr>
        <w:spacing w:before="80" w:after="80"/>
      </w:pPr>
      <w:r>
        <w:rPr>
          <w:sz w:val="22"/>
          <w:szCs w:val="22"/>
        </w:rPr>
        <w:t xml:space="preserve">The legal framework is consistently pleaded. The NOM seeks declarations under paras 1.1–1.3 which are directly supported by FA Paras 16 (s34(1)) and 17 (s34(2)). The key figures are consistent throughout:</w:t>
      </w:r>
    </w:p>
    <w:p>
      <w:pPr>
        <w:spacing w:before="80" w:after="80"/>
      </w:pPr>
      <w:r>
        <w:rPr>
          <w:b/>
          <w:bCs/>
          <w:sz w:val="22"/>
          <w:szCs w:val="22"/>
        </w:rPr>
        <w:t xml:space="preserve">Deduction amount: </w:t>
      </w:r>
      <w:r>
        <w:rPr>
          <w:sz w:val="22"/>
          <w:szCs w:val="22"/>
        </w:rPr>
        <w:t xml:space="preserve">R14,811.77 — consistent in all paragraphs of both documents.</w:t>
      </w:r>
    </w:p>
    <w:p>
      <w:pPr>
        <w:spacing w:before="80" w:after="80"/>
      </w:pPr>
      <w:r>
        <w:rPr>
          <w:b/>
          <w:bCs/>
          <w:sz w:val="22"/>
          <w:szCs w:val="22"/>
        </w:rPr>
        <w:t xml:space="preserve">Deduction date: </w:t>
      </w:r>
      <w:r>
        <w:rPr>
          <w:sz w:val="22"/>
          <w:szCs w:val="22"/>
        </w:rPr>
        <w:t xml:space="preserve">23 July 2025 — consistent in all paragraphs of both documents.</w:t>
      </w:r>
    </w:p>
    <w:p>
      <w:pPr>
        <w:spacing w:before="80" w:after="80"/>
      </w:pPr>
      <w:r>
        <w:rPr>
          <w:b/>
          <w:bCs/>
          <w:sz w:val="22"/>
          <w:szCs w:val="22"/>
        </w:rPr>
        <w:t xml:space="preserve">Percentage: </w:t>
      </w:r>
      <w:r>
        <w:rPr>
          <w:sz w:val="22"/>
          <w:szCs w:val="22"/>
        </w:rPr>
        <w:t xml:space="preserve">40.47% / 40.5% — NOM Para 2.2(i) uses '40.47%'; FA Para 17.1 uses 'approximately 40.5%'. Recommend standardising to 40.47% throughout.</w:t>
      </w:r>
    </w:p>
    <w:p>
      <w:pPr>
        <w:spacing w:before="80" w:after="80"/>
      </w:pPr>
      <w:r>
        <w:rPr>
          <w:b/>
          <w:bCs/>
          <w:sz w:val="22"/>
          <w:szCs w:val="22"/>
        </w:rPr>
        <w:t xml:space="preserve">Gross earnings: </w:t>
      </w:r>
      <w:r>
        <w:rPr>
          <w:sz w:val="22"/>
          <w:szCs w:val="22"/>
        </w:rPr>
        <w:t xml:space="preserve">R36,588.81 — consistent (FA Para 5.1 and Para 12.1).</w:t>
      </w:r>
    </w:p>
    <w:p>
      <w:pPr>
        <w:spacing w:before="80" w:after="80"/>
      </w:pPr>
      <w:r>
        <w:rPr>
          <w:b/>
          <w:bCs/>
          <w:sz w:val="22"/>
          <w:szCs w:val="22"/>
        </w:rPr>
        <w:t xml:space="preserve">CTC: </w:t>
      </w:r>
      <w:r>
        <w:rPr>
          <w:sz w:val="22"/>
          <w:szCs w:val="22"/>
        </w:rPr>
        <w:t xml:space="preserve">R42,796.13 — consistent (FA Para 5.1 and Para 12.2).</w:t>
      </w:r>
    </w:p>
    <w:p>
      <w:pPr>
        <w:spacing w:before="80" w:after="80"/>
      </w:pPr>
      <w:r>
        <w:rPr>
          <w:b/>
          <w:bCs/>
          <w:sz w:val="22"/>
          <w:szCs w:val="22"/>
        </w:rPr>
        <w:t xml:space="preserve">Policy cap: </w:t>
      </w:r>
      <w:r>
        <w:rPr>
          <w:sz w:val="22"/>
          <w:szCs w:val="22"/>
        </w:rPr>
        <w:t xml:space="preserve">25% / R10,699.03 — consistent across both documents.</w:t>
      </w:r>
    </w:p>
    <w:p>
      <w:pPr>
        <w:pStyle w:val="Heading2"/>
        <w:spacing w:before="240" w:after="80"/>
      </w:pPr>
      <w:r>
        <w:rPr>
          <w:b/>
          <w:bCs/>
          <w:color w:val="1F618D"/>
          <w:sz w:val="24"/>
          <w:szCs w:val="24"/>
        </w:rPr>
        <w:t xml:space="preserve">4. Solatium (R50,000)</w:t>
      </w:r>
    </w:p>
    <w:p>
      <w:pPr>
        <w:spacing w:before="80" w:after="80"/>
      </w:pPr>
      <w:r>
        <w:rPr>
          <w:sz w:val="22"/>
          <w:szCs w:val="22"/>
        </w:rPr>
        <w:t xml:space="preserve">NOM Para 2.2 lists seven grounds (i)–(vii). FA Para 27.1(e-bis) lists seven corresponding grounds in identical sequence and language. The underlying factual basis for each ground is fully established in the FA body:</w:t>
      </w:r>
    </w:p>
    <w:p>
      <w:pPr>
        <w:spacing w:before="80" w:after="80"/>
      </w:pPr>
      <w:r>
        <w:rPr>
          <w:b/>
          <w:bCs/>
          <w:sz w:val="22"/>
          <w:szCs w:val="22"/>
        </w:rPr>
        <w:t xml:space="preserve">Ground (i) — Magnitude (40.47%): </w:t>
      </w:r>
      <w:r>
        <w:rPr>
          <w:sz w:val="22"/>
          <w:szCs w:val="22"/>
        </w:rPr>
        <w:t xml:space="preserve">FA Para 20.2 ✓</w:t>
      </w:r>
    </w:p>
    <w:p>
      <w:pPr>
        <w:spacing w:before="80" w:after="80"/>
      </w:pPr>
      <w:r>
        <w:rPr>
          <w:b/>
          <w:bCs/>
          <w:sz w:val="22"/>
          <w:szCs w:val="22"/>
        </w:rPr>
        <w:t xml:space="preserve">Ground (ii) — Psychiatric disability known to employer: </w:t>
      </w:r>
      <w:r>
        <w:rPr>
          <w:sz w:val="22"/>
          <w:szCs w:val="22"/>
        </w:rPr>
        <w:t xml:space="preserve">FA Paras 7.1–7.3 and Para 9.1–9.4 ✓</w:t>
      </w:r>
    </w:p>
    <w:p>
      <w:pPr>
        <w:spacing w:before="80" w:after="80"/>
      </w:pPr>
      <w:r>
        <w:rPr>
          <w:b/>
          <w:bCs/>
          <w:sz w:val="22"/>
          <w:szCs w:val="22"/>
        </w:rPr>
        <w:t xml:space="preserve">Ground (iii) — Financial devastation: </w:t>
      </w:r>
      <w:r>
        <w:rPr>
          <w:sz w:val="22"/>
          <w:szCs w:val="22"/>
        </w:rPr>
        <w:t xml:space="preserve">FA Para 20.3 ✓</w:t>
      </w:r>
    </w:p>
    <w:p>
      <w:pPr>
        <w:spacing w:before="80" w:after="80"/>
      </w:pPr>
      <w:r>
        <w:rPr>
          <w:b/>
          <w:bCs/>
          <w:sz w:val="22"/>
          <w:szCs w:val="22"/>
        </w:rPr>
        <w:t xml:space="preserve">Ground (iv) — Failure to consult: </w:t>
      </w:r>
      <w:r>
        <w:rPr>
          <w:sz w:val="22"/>
          <w:szCs w:val="22"/>
        </w:rPr>
        <w:t xml:space="preserve">FA Para 11.1 ✓</w:t>
      </w:r>
    </w:p>
    <w:p>
      <w:pPr>
        <w:spacing w:before="80" w:after="80"/>
      </w:pPr>
      <w:r>
        <w:rPr>
          <w:b/>
          <w:bCs/>
          <w:sz w:val="22"/>
          <w:szCs w:val="22"/>
        </w:rPr>
        <w:t xml:space="preserve">Ground (v) — Written misrepresentation re staggering: </w:t>
      </w:r>
      <w:r>
        <w:rPr>
          <w:sz w:val="22"/>
          <w:szCs w:val="22"/>
        </w:rPr>
        <w:t xml:space="preserve">FA Para 10.2–10.3 ✓</w:t>
      </w:r>
    </w:p>
    <w:p>
      <w:pPr>
        <w:spacing w:before="80" w:after="80"/>
      </w:pPr>
      <w:r>
        <w:rPr>
          <w:b/>
          <w:bCs/>
          <w:sz w:val="22"/>
          <w:szCs w:val="22"/>
        </w:rPr>
        <w:t xml:space="preserve">Ground (vi) — False sworn statement: </w:t>
      </w:r>
      <w:r>
        <w:rPr>
          <w:sz w:val="22"/>
          <w:szCs w:val="22"/>
        </w:rPr>
        <w:t xml:space="preserve">FA Paras 9.1–9.4 ✓</w:t>
      </w:r>
    </w:p>
    <w:p>
      <w:pPr>
        <w:spacing w:before="80" w:after="80"/>
      </w:pPr>
      <w:r>
        <w:rPr>
          <w:b/>
          <w:bCs/>
          <w:sz w:val="22"/>
          <w:szCs w:val="22"/>
        </w:rPr>
        <w:t xml:space="preserve">Ground (vii) — Post-resignation statutory breaches: </w:t>
      </w:r>
      <w:r>
        <w:rPr>
          <w:sz w:val="22"/>
          <w:szCs w:val="22"/>
        </w:rPr>
        <w:t xml:space="preserve">FA Paras 22–24 ✓</w:t>
      </w:r>
    </w:p>
    <w:p>
      <w:pPr>
        <w:pStyle w:val="Heading2"/>
        <w:spacing w:before="240" w:after="80"/>
      </w:pPr>
      <w:r>
        <w:rPr>
          <w:b/>
          <w:bCs/>
          <w:color w:val="1F618D"/>
          <w:sz w:val="24"/>
          <w:szCs w:val="24"/>
        </w:rPr>
        <w:t xml:space="preserve">5. Punitive Costs — NOM Para 4.1</w:t>
      </w:r>
    </w:p>
    <w:p>
      <w:pPr>
        <w:spacing w:before="80" w:after="80"/>
      </w:pPr>
      <w:r>
        <w:rPr>
          <w:sz w:val="22"/>
          <w:szCs w:val="22"/>
        </w:rPr>
        <w:t xml:space="preserve">NOM Para 4.1 lists six grounds (a)–(f). These are each supported in the FA as follows:</w:t>
      </w:r>
    </w:p>
    <w:p>
      <w:pPr>
        <w:spacing w:before="80" w:after="80"/>
      </w:pPr>
      <w:r>
        <w:rPr>
          <w:b/>
          <w:bCs/>
          <w:sz w:val="22"/>
          <w:szCs w:val="22"/>
        </w:rPr>
        <w:t xml:space="preserve">(a) Manager misrepresentation re staggering: </w:t>
      </w:r>
      <w:r>
        <w:rPr>
          <w:sz w:val="22"/>
          <w:szCs w:val="22"/>
        </w:rPr>
        <w:t xml:space="preserve">FA Para 10.2–10.3 ✓</w:t>
      </w:r>
    </w:p>
    <w:p>
      <w:pPr>
        <w:spacing w:before="80" w:after="80"/>
      </w:pPr>
      <w:r>
        <w:rPr>
          <w:b/>
          <w:bCs/>
          <w:sz w:val="22"/>
          <w:szCs w:val="22"/>
        </w:rPr>
        <w:t xml:space="preserve">(b) No HCBP consultation: </w:t>
      </w:r>
      <w:r>
        <w:rPr>
          <w:sz w:val="22"/>
          <w:szCs w:val="22"/>
        </w:rPr>
        <w:t xml:space="preserve">FA Para 11.1 ✓</w:t>
      </w:r>
    </w:p>
    <w:p>
      <w:pPr>
        <w:spacing w:before="80" w:after="80"/>
      </w:pPr>
      <w:r>
        <w:rPr>
          <w:b/>
          <w:bCs/>
          <w:sz w:val="22"/>
          <w:szCs w:val="22"/>
        </w:rPr>
        <w:t xml:space="preserve">(c) Prior notice from Dr Malan ignored: </w:t>
      </w:r>
      <w:r>
        <w:rPr>
          <w:sz w:val="22"/>
          <w:szCs w:val="22"/>
        </w:rPr>
        <w:t xml:space="preserve">FA Para 7.1–7.3 ✓</w:t>
      </w:r>
    </w:p>
    <w:p>
      <w:pPr>
        <w:spacing w:before="80" w:after="80"/>
      </w:pPr>
      <w:r>
        <w:rPr>
          <w:b/>
          <w:bCs/>
          <w:sz w:val="22"/>
          <w:szCs w:val="22"/>
        </w:rPr>
        <w:t xml:space="preserve">(d) Manyathi sworn statement re mental illness: </w:t>
      </w:r>
      <w:r>
        <w:rPr>
          <w:sz w:val="22"/>
          <w:szCs w:val="22"/>
        </w:rPr>
        <w:t xml:space="preserve">FA Para 9.1–9.4 ✓</w:t>
      </w:r>
    </w:p>
    <w:p>
      <w:pPr>
        <w:spacing w:before="80" w:after="80"/>
      </w:pPr>
      <w:r>
        <w:rPr>
          <w:b/>
          <w:bCs/>
          <w:sz w:val="22"/>
          <w:szCs w:val="22"/>
        </w:rPr>
        <w:t xml:space="preserve">(e) False UIF compliance + Certificate of Service: </w:t>
      </w:r>
      <w:r>
        <w:rPr>
          <w:sz w:val="22"/>
          <w:szCs w:val="22"/>
        </w:rPr>
        <w:t xml:space="preserve">FA Paras 22–23 ✓</w:t>
      </w:r>
    </w:p>
    <w:p>
      <w:pPr>
        <w:spacing w:before="80" w:after="80"/>
      </w:pPr>
      <w:r>
        <w:rPr>
          <w:b/>
          <w:bCs/>
          <w:sz w:val="22"/>
          <w:szCs w:val="22"/>
        </w:rPr>
        <w:t xml:space="preserve">(f) Debt spiral disclosure — Annexure D: </w:t>
      </w:r>
      <w:r>
        <w:rPr>
          <w:sz w:val="22"/>
          <w:szCs w:val="22"/>
        </w:rPr>
        <w:t xml:space="preserve">FA Para 14.1 ✓</w:t>
      </w:r>
    </w:p>
    <w:p>
      <w:pPr>
        <w:pStyle w:val="Heading2"/>
        <w:spacing w:before="240" w:after="80"/>
      </w:pPr>
      <w:r>
        <w:rPr>
          <w:b/>
          <w:bCs/>
          <w:color w:val="1F618D"/>
          <w:sz w:val="24"/>
          <w:szCs w:val="24"/>
        </w:rPr>
        <w:t xml:space="preserve">6. Reservation of Rights</w:t>
      </w:r>
    </w:p>
    <w:p>
      <w:pPr>
        <w:spacing w:before="80" w:after="80"/>
      </w:pPr>
      <w:r>
        <w:rPr>
          <w:sz w:val="22"/>
          <w:szCs w:val="22"/>
        </w:rPr>
        <w:t xml:space="preserve">NOM Para 5.1 reserves rights including constructive dismissal, unfair labour practice, class action, EEA disability discrimination, UICA claims. FA Para 28.1 reserves materially identical rights and additionally reserves the right to pursue perjury complaint against Manyathi and to apply for production of the Naming Convention recording. The FA reservation is broader — there is no inconsistency, only additional detail in the FA.</w:t>
      </w:r>
    </w:p>
    <w:p>
      <w:pPr>
        <w:pStyle w:val="Heading2"/>
        <w:spacing w:before="240" w:after="80"/>
      </w:pPr>
      <w:r>
        <w:rPr>
          <w:b/>
          <w:bCs/>
          <w:color w:val="1F618D"/>
          <w:sz w:val="24"/>
          <w:szCs w:val="24"/>
        </w:rPr>
        <w:t xml:space="preserve">7. Three-Party Joint Employer Liability</w:t>
      </w:r>
    </w:p>
    <w:p>
      <w:pPr>
        <w:spacing w:before="80" w:after="80"/>
      </w:pPr>
      <w:r>
        <w:rPr>
          <w:sz w:val="22"/>
          <w:szCs w:val="22"/>
        </w:rPr>
        <w:t xml:space="preserve">The joint employer doctrine is consistently pleaded. NOM preamble correctly assigns roles (contracting employer / payroll entity / group employer). FA Paras 4.1–4.2 provide detailed factual basis (letterhead estoppel, CTC document, salary increase letter, group HR administration). FA Para 21.1 provides the legal conclusion. All consistent.</w:t>
      </w:r>
    </w:p>
    <w:p>
      <w:pPr>
        <w:spacing w:before="400"/>
      </w:pPr>
    </w:p>
    <w:p>
      <w:pPr>
        <w:pStyle w:val="Heading1"/>
        <w:spacing w:before="360" w:after="120"/>
      </w:pPr>
      <w:r>
        <w:rPr>
          <w:b/>
          <w:bCs/>
          <w:color w:val="2E4057"/>
          <w:sz w:val="28"/>
          <w:szCs w:val="28"/>
        </w:rPr>
        <w:t xml:space="preserve">RECOMMENDED AMENDMENTS — PRIORITY ORDER</w:t>
      </w:r>
    </w:p>
    <w:p>
      <w:pPr>
        <w:pStyle w:val="Heading2"/>
        <w:spacing w:before="240" w:after="80"/>
      </w:pPr>
      <w:r>
        <w:rPr>
          <w:b/>
          <w:bCs/>
          <w:color w:val="1F618D"/>
          <w:sz w:val="24"/>
          <w:szCs w:val="24"/>
        </w:rPr>
        <w:t xml:space="preserve">CRITICAL: Add Urgency Part to Founding Affidavit</w:t>
      </w:r>
    </w:p>
    <w:p>
      <w:pPr>
        <w:spacing w:before="80" w:after="80"/>
      </w:pPr>
      <w:r>
        <w:rPr>
          <w:sz w:val="22"/>
          <w:szCs w:val="22"/>
        </w:rPr>
        <w:t xml:space="preserve">Insert a new Part F (or Part E-bis) after the current Part E, with the following sworn averments to support NOM Para 2.3:</w:t>
      </w:r>
    </w:p>
    <w:p>
      <w:pPr>
        <w:pStyle w:val="ListParagraph"/>
        <w:numPr>
          <w:ilvl w:val="0"/>
          <w:numId w:val="2"/>
        </w:numPr>
        <w:spacing w:before="60" w:after="40"/>
      </w:pPr>
      <w:r>
        <w:rPr>
          <w:sz w:val="22"/>
          <w:szCs w:val="22"/>
        </w:rPr>
        <w:t xml:space="preserve">Current arrear rental position and nature of landlord's eviction warning (verbal or written, date).</w:t>
      </w:r>
    </w:p>
    <w:p>
      <w:pPr>
        <w:pStyle w:val="ListParagraph"/>
        <w:numPr>
          <w:ilvl w:val="0"/>
          <w:numId w:val="2"/>
        </w:numPr>
        <w:spacing w:before="60" w:after="40"/>
      </w:pPr>
      <w:r>
        <w:rPr>
          <w:sz w:val="22"/>
          <w:szCs w:val="22"/>
        </w:rPr>
        <w:t xml:space="preserve">Current utility access situation (water, electricity) with dates from which disruption commenced.</w:t>
      </w:r>
    </w:p>
    <w:p>
      <w:pPr>
        <w:pStyle w:val="ListParagraph"/>
        <w:numPr>
          <w:ilvl w:val="0"/>
          <w:numId w:val="2"/>
        </w:numPr>
        <w:spacing w:before="60" w:after="40"/>
      </w:pPr>
      <w:r>
        <w:rPr>
          <w:sz w:val="22"/>
          <w:szCs w:val="22"/>
        </w:rPr>
        <w:t xml:space="preserve">Statement that no income, savings, or credit access currently exists and UIF remains inaccessible (cross-reference Annexures I and J).</w:t>
      </w:r>
    </w:p>
    <w:p>
      <w:pPr>
        <w:pStyle w:val="ListParagraph"/>
        <w:numPr>
          <w:ilvl w:val="0"/>
          <w:numId w:val="2"/>
        </w:numPr>
        <w:spacing w:before="60" w:after="40"/>
      </w:pPr>
      <w:r>
        <w:rPr>
          <w:sz w:val="22"/>
          <w:szCs w:val="22"/>
        </w:rPr>
        <w:t xml:space="preserve">Prima facie right — cross-reference FA Paras 12–13 (deduction amount and payslip) and FA Para 17 (statutory breach).</w:t>
      </w:r>
    </w:p>
    <w:p>
      <w:pPr>
        <w:pStyle w:val="ListParagraph"/>
        <w:numPr>
          <w:ilvl w:val="0"/>
          <w:numId w:val="2"/>
        </w:numPr>
        <w:spacing w:before="60" w:after="40"/>
      </w:pPr>
      <w:r>
        <w:rPr>
          <w:sz w:val="22"/>
          <w:szCs w:val="22"/>
        </w:rPr>
        <w:t xml:space="preserve">Irreparable harm — state that eviction will render you homeless and unable to continue participation in all 9 concurrent regulatory proceedings.</w:t>
      </w:r>
    </w:p>
    <w:p>
      <w:pPr>
        <w:pStyle w:val="ListParagraph"/>
        <w:numPr>
          <w:ilvl w:val="0"/>
          <w:numId w:val="2"/>
        </w:numPr>
        <w:spacing w:before="60" w:after="40"/>
      </w:pPr>
      <w:r>
        <w:rPr>
          <w:sz w:val="22"/>
          <w:szCs w:val="22"/>
        </w:rPr>
        <w:t xml:space="preserve">Balance of convenience — R14,811.77 is de minimis to a JSE-listed group (state group revenue or asset figure from integrated report); existential to Applicant.</w:t>
      </w:r>
    </w:p>
    <w:p>
      <w:pPr>
        <w:pStyle w:val="ListParagraph"/>
        <w:numPr>
          <w:ilvl w:val="0"/>
          <w:numId w:val="2"/>
        </w:numPr>
        <w:spacing w:before="60" w:after="40"/>
      </w:pPr>
      <w:r>
        <w:rPr>
          <w:sz w:val="22"/>
          <w:szCs w:val="22"/>
        </w:rPr>
        <w:t xml:space="preserve">No alternative remedy — cross-reference Annexure D (written debt spiral disclosure 11 November 2025) and Teams meeting 12 November 2025.</w:t>
      </w:r>
    </w:p>
    <w:p>
      <w:pPr>
        <w:pStyle w:val="ListParagraph"/>
        <w:numPr>
          <w:ilvl w:val="0"/>
          <w:numId w:val="2"/>
        </w:numPr>
        <w:spacing w:before="60" w:after="40"/>
      </w:pPr>
      <w:r>
        <w:rPr>
          <w:sz w:val="22"/>
          <w:szCs w:val="22"/>
        </w:rPr>
        <w:t xml:space="preserve">Urgency — calculate timeline: ordinary 10+15 day rule plus hearing date would exceed end of March 2026 eviction risk. State exact dates.</w:t>
      </w:r>
    </w:p>
    <w:p>
      <w:pPr>
        <w:spacing w:before="160"/>
      </w:pPr>
    </w:p>
    <w:p>
      <w:pPr>
        <w:pStyle w:val="Heading2"/>
        <w:spacing w:before="240" w:after="80"/>
      </w:pPr>
      <w:r>
        <w:rPr>
          <w:b/>
          <w:bCs/>
          <w:color w:val="1F618D"/>
          <w:sz w:val="24"/>
          <w:szCs w:val="24"/>
        </w:rPr>
        <w:t xml:space="preserve">MODERATE: Add EEA Declaratory Prayer to NOM</w:t>
      </w:r>
    </w:p>
    <w:p>
      <w:pPr>
        <w:spacing w:before="80" w:after="80"/>
      </w:pPr>
      <w:r>
        <w:rPr>
          <w:sz w:val="22"/>
          <w:szCs w:val="22"/>
        </w:rPr>
        <w:t xml:space="preserve">Insert NOM Para 1.4 as follows:</w:t>
      </w:r>
    </w:p>
    <w:p>
      <w:pPr>
        <w:spacing w:before="80" w:after="80"/>
        <w:ind w:left="720"/>
      </w:pPr>
      <w:r>
        <w:rPr>
          <w:i/>
          <w:iCs/>
          <w:color w:val="1A5276"/>
          <w:sz w:val="22"/>
          <w:szCs w:val="22"/>
        </w:rPr>
        <w:t xml:space="preserve">'1.4  DECLARING that the Respondents failed to make reasonable accommodation for the Applicant's documented psychiatric disability in breach of Section 6 of the Employment Equity Act 55 of 1998 and the Code of Good Practice on Employment of People with Disabilities, and that the deduction of R14,811.77 in the circumstances known to the Respondents constituted unfair discrimination on the ground of disability.'</w:t>
      </w:r>
    </w:p>
    <w:p>
      <w:pPr>
        <w:pStyle w:val="Heading2"/>
        <w:spacing w:before="240" w:after="80"/>
      </w:pPr>
      <w:r>
        <w:rPr>
          <w:b/>
          <w:bCs/>
          <w:color w:val="1F618D"/>
          <w:sz w:val="24"/>
          <w:szCs w:val="24"/>
        </w:rPr>
        <w:t xml:space="preserve">MODERATE: Correct FA Paragraph Numbering</w:t>
      </w:r>
    </w:p>
    <w:p>
      <w:pPr>
        <w:spacing w:before="80" w:after="80"/>
      </w:pPr>
      <w:r>
        <w:rPr>
          <w:sz w:val="22"/>
          <w:szCs w:val="22"/>
        </w:rPr>
        <w:t xml:space="preserve">Current Para 24 (B-BBEE section, labelled '24. B-BBEE Commission Complaint') conflicts with Para 24 (Naming Convention Recording). Renumber as follows:</w:t>
      </w:r>
    </w:p>
    <w:p>
      <w:pPr>
        <w:spacing w:before="80" w:after="80"/>
      </w:pPr>
      <w:r>
        <w:rPr>
          <w:b/>
          <w:bCs/>
          <w:sz w:val="22"/>
          <w:szCs w:val="22"/>
        </w:rPr>
        <w:t xml:space="preserve">Para 24: </w:t>
      </w:r>
      <w:r>
        <w:rPr>
          <w:sz w:val="22"/>
          <w:szCs w:val="22"/>
        </w:rPr>
        <w:t xml:space="preserve">Suppression of the Naming Convention Recording (current — retain)</w:t>
      </w:r>
    </w:p>
    <w:p>
      <w:pPr>
        <w:spacing w:before="80" w:after="80"/>
      </w:pPr>
      <w:r>
        <w:rPr>
          <w:b/>
          <w:bCs/>
          <w:sz w:val="22"/>
          <w:szCs w:val="22"/>
        </w:rPr>
        <w:t xml:space="preserve">Para 25: </w:t>
      </w:r>
      <w:r>
        <w:rPr>
          <w:sz w:val="22"/>
          <w:szCs w:val="22"/>
        </w:rPr>
        <w:t xml:space="preserve">B-BBEE Commission Complaint (currently mislabelled Para 24.B)</w:t>
      </w:r>
    </w:p>
    <w:p>
      <w:pPr>
        <w:spacing w:before="80" w:after="80"/>
      </w:pPr>
      <w:r>
        <w:rPr>
          <w:b/>
          <w:bCs/>
          <w:sz w:val="22"/>
          <w:szCs w:val="22"/>
        </w:rPr>
        <w:t xml:space="preserve">Para 26: </w:t>
      </w:r>
      <w:r>
        <w:rPr>
          <w:sz w:val="22"/>
          <w:szCs w:val="22"/>
        </w:rPr>
        <w:t xml:space="preserve">The Respondents' Bad Faith — Evidenced by Their Own Representative (currently Para 26 — no change needed)</w:t>
      </w:r>
    </w:p>
    <w:p>
      <w:pPr>
        <w:spacing w:before="80" w:after="80"/>
      </w:pPr>
      <w:r>
        <w:rPr>
          <w:b/>
          <w:bCs/>
          <w:sz w:val="22"/>
          <w:szCs w:val="22"/>
        </w:rPr>
        <w:t xml:space="preserve">Para 27: </w:t>
      </w:r>
      <w:r>
        <w:rPr>
          <w:sz w:val="22"/>
          <w:szCs w:val="22"/>
        </w:rPr>
        <w:t xml:space="preserve">Prayer (update internal cross-references if any)</w:t>
      </w:r>
    </w:p>
    <w:p>
      <w:pPr>
        <w:pStyle w:val="Heading2"/>
        <w:spacing w:before="240" w:after="80"/>
      </w:pPr>
      <w:r>
        <w:rPr>
          <w:b/>
          <w:bCs/>
          <w:color w:val="1F618D"/>
          <w:sz w:val="24"/>
          <w:szCs w:val="24"/>
        </w:rPr>
        <w:t xml:space="preserve">MINOR: Standardise the 40.47% Figure</w:t>
      </w:r>
    </w:p>
    <w:p>
      <w:pPr>
        <w:spacing w:before="80" w:after="80"/>
      </w:pPr>
      <w:r>
        <w:rPr>
          <w:sz w:val="22"/>
          <w:szCs w:val="22"/>
        </w:rPr>
        <w:t xml:space="preserve">FA Para 17.1 uses 'approximately 40.5%' while all other references in both documents use '40.47%'. Update FA Para 17.1 to read '40.47%' for consistency with NOM Para 2.2(i), FA Para 20.2, and the solatium prayer.</w:t>
      </w:r>
    </w:p>
    <w:p>
      <w:pPr>
        <w:spacing w:before="400"/>
      </w:pPr>
    </w:p>
    <w:p>
      <w:pPr>
        <w:pStyle w:val="Heading1"/>
        <w:spacing w:before="360" w:after="120"/>
      </w:pPr>
      <w:r>
        <w:rPr>
          <w:b/>
          <w:bCs/>
          <w:color w:val="2E4057"/>
          <w:sz w:val="28"/>
          <w:szCs w:val="28"/>
        </w:rPr>
        <w:t xml:space="preserve">CONCLUSION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2E4057" w:sz="4"/>
              <w:left w:val="single" w:color="2E4057" w:sz="4"/>
              <w:bottom w:val="single" w:color="2E4057" w:sz="4"/>
              <w:right w:val="single" w:color="2E4057" w:sz="4"/>
            </w:tcBorders>
            <w:shd w:fill="C0392B" w:val="clear"/>
            <w:tcMar>
              <w:top w:type="dxa" w:w="100"/>
              <w:left w:type="dxa" w:w="120"/>
              <w:bottom w:type="dxa" w:w="100"/>
              <w:right w:type="dxa" w:w="120"/>
            </w:tcMar>
          </w:tcPr>
          <w:p>
            <w:r>
              <w:rPr>
                <w:b/>
                <w:bCs/>
                <w:color w:val="FFFFFF"/>
                <w:sz w:val="22"/>
                <w:szCs w:val="22"/>
              </w:rPr>
              <w:t xml:space="preserve">CRITICAL ACTION</w:t>
            </w:r>
          </w:p>
        </w:tc>
        <w:tc>
          <w:tcPr>
            <w:tcW w:type="dxa" w:w="688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sz w:val="22"/>
                <w:szCs w:val="22"/>
              </w:rPr>
              <w:t xml:space="preserve">Add urgency sworn averments to Founding Affidavit (new Part F) before service. Without this, NOM Para 2.3 interim relief is unsupported by evidence.</w:t>
            </w:r>
          </w:p>
        </w:tc>
      </w:tr>
      <w:tr>
        <w:tc>
          <w:tcPr>
            <w:tcW w:type="dxa" w:w="2200"/>
            <w:tcBorders>
              <w:top w:val="single" w:color="2E4057" w:sz="4"/>
              <w:left w:val="single" w:color="2E4057" w:sz="4"/>
              <w:bottom w:val="single" w:color="2E4057" w:sz="4"/>
              <w:right w:val="single" w:color="2E4057" w:sz="4"/>
            </w:tcBorders>
            <w:shd w:fill="E67E22" w:val="clear"/>
            <w:tcMar>
              <w:top w:type="dxa" w:w="100"/>
              <w:left w:type="dxa" w:w="120"/>
              <w:bottom w:type="dxa" w:w="100"/>
              <w:right w:type="dxa" w:w="120"/>
            </w:tcMar>
          </w:tcPr>
          <w:p>
            <w:r>
              <w:rPr>
                <w:b/>
                <w:bCs/>
                <w:color w:val="FFFFFF"/>
                <w:sz w:val="22"/>
                <w:szCs w:val="22"/>
              </w:rPr>
              <w:t xml:space="preserve">MODERATE ACTIONS</w:t>
            </w:r>
          </w:p>
        </w:tc>
        <w:tc>
          <w:tcPr>
            <w:tcW w:type="dxa" w:w="688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sz w:val="22"/>
                <w:szCs w:val="22"/>
              </w:rPr>
              <w:t xml:space="preserve">(1) Add EEA declaratory prayer NOM Para 1.4. (2) Correct FA paragraph numbering (duplicate Para 24).</w:t>
            </w:r>
          </w:p>
        </w:tc>
      </w:tr>
      <w:tr>
        <w:tc>
          <w:tcPr>
            <w:tcW w:type="dxa" w:w="2200"/>
            <w:tcBorders>
              <w:top w:val="single" w:color="2E4057" w:sz="4"/>
              <w:left w:val="single" w:color="2E4057" w:sz="4"/>
              <w:bottom w:val="single" w:color="2E4057" w:sz="4"/>
              <w:right w:val="single" w:color="2E4057" w:sz="4"/>
            </w:tcBorders>
            <w:shd w:fill="27AE60" w:val="clear"/>
            <w:tcMar>
              <w:top w:type="dxa" w:w="100"/>
              <w:left w:type="dxa" w:w="120"/>
              <w:bottom w:type="dxa" w:w="100"/>
              <w:right w:type="dxa" w:w="120"/>
            </w:tcMar>
          </w:tcPr>
          <w:p>
            <w:r>
              <w:rPr>
                <w:b/>
                <w:bCs/>
                <w:color w:val="FFFFFF"/>
                <w:sz w:val="22"/>
                <w:szCs w:val="22"/>
              </w:rPr>
              <w:t xml:space="preserve">MINOR ACTIONS</w:t>
            </w:r>
          </w:p>
        </w:tc>
        <w:tc>
          <w:tcPr>
            <w:tcW w:type="dxa" w:w="688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sz w:val="22"/>
                <w:szCs w:val="22"/>
              </w:rPr>
              <w:t xml:space="preserve">Standardise 40.47% figure in FA Para 17.1. Consider BBBEE Commission addition to NOM costs grounds.</w:t>
            </w:r>
          </w:p>
        </w:tc>
      </w:tr>
      <w:tr>
        <w:tc>
          <w:tcPr>
            <w:tcW w:type="dxa" w:w="2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r>
              <w:rPr>
                <w:b/>
                <w:bCs/>
                <w:color w:val="FFFFFF"/>
                <w:sz w:val="22"/>
                <w:szCs w:val="22"/>
              </w:rPr>
              <w:t xml:space="preserve">OVERALL STATUS</w:t>
            </w:r>
          </w:p>
        </w:tc>
        <w:tc>
          <w:tcPr>
            <w:tcW w:type="dxa" w:w="6880"/>
            <w:tcBorders>
              <w:top w:val="single" w:color="AAAAAA" w:sz="1"/>
              <w:left w:val="single" w:color="AAAAAA" w:sz="1"/>
              <w:bottom w:val="single" w:color="AAAAAA" w:sz="1"/>
              <w:right w:val="single" w:color="AAAAAA" w:sz="1"/>
            </w:tcBorders>
            <w:tcMar>
              <w:top w:type="dxa" w:w="100"/>
              <w:left w:type="dxa" w:w="120"/>
              <w:bottom w:type="dxa" w:w="100"/>
              <w:right w:type="dxa" w:w="120"/>
            </w:tcMar>
          </w:tcPr>
          <w:p>
            <w:r>
              <w:rPr>
                <w:sz w:val="22"/>
                <w:szCs w:val="22"/>
              </w:rPr>
              <w:t xml:space="preserve">Substantively strong and well-correlated. Core facts, figures, annexures, and legal grounds are consistent. Address the Critical and Moderate items before service and both documents will present as a cohesive, professionally prepared bundle.</w:t>
            </w:r>
          </w:p>
        </w:tc>
      </w:tr>
    </w:tbl>
    <w:p>
      <w:pPr>
        <w:pBdr>
          <w:top w:val="single" w:color="2E4057" w:sz="6" w:space="1"/>
        </w:pBdr>
        <w:spacing w:before="200"/>
      </w:pPr>
    </w:p>
    <w:p>
      <w:pPr>
        <w:spacing w:before="120" w:after="0"/>
        <w:jc w:val="center"/>
      </w:pPr>
      <w:r>
        <w:rPr>
          <w:i/>
          <w:iCs/>
          <w:color w:val="888888"/>
          <w:sz w:val="18"/>
          <w:szCs w:val="18"/>
        </w:rPr>
        <w:t xml:space="preserve">Prepared for: Wilbur William Matthee  |  EthicHawks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2026-03-12T12:21:59.227Z</dcterms:created>
  <dcterms:modified xsi:type="dcterms:W3CDTF">2026-03-12T12:21:59.228Z</dcterms:modified>
</cp:coreProperties>
</file>

<file path=docProps/custom.xml><?xml version="1.0" encoding="utf-8"?>
<Properties xmlns="http://schemas.openxmlformats.org/officeDocument/2006/custom-properties" xmlns:vt="http://schemas.openxmlformats.org/officeDocument/2006/docPropsVTypes"/>
</file>