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</w:t>
      </w:r>
      <w:r>
        <w:rPr>
          <w:rFonts w:ascii="Arial" w:hAnsi="Arial" w:cs="Arial" w:eastAsia="Arial"/>
          <w:color w:val="252525"/>
          <w:sz w:val="61"/>
        </w:rPr>
        <w:t>EGIN:VCALENDAR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VERSION:2.0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PRODID:-//Occupational Health Study Plan//EN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CALSCALE:GREGORIAN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METHOD:PUBLISH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SUMMARY:Overview of Occupational Health Nursing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DTSTART;TZID=Africa/Johannesburg:20251019T183000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DTEND;TZID=Africa/Johannesburg:20251019T193000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Roles &amp; responsibilities\n- History &amp; evolution\n- Ethical &amp; legal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SUMMARY:Core Anatomy &amp; Physiology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DTSTART;TZID=Africa/Johannesburg:20251022T183000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DTEND;TZID=Africa/Johannesburg:20251022T193000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Musculoskeletal system\n- Respiratory system\n- Nervous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SUMMARY:Physical Workplace Hazards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DTSTART;TZID=Africa/Johannesburg:20251026T183000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DTEND;TZID=Africa/Johannesburg:20251026T193000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Noise, vibration, temperature extremes, radiation\n- Effects &amp; prevention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SUMMARY:Chemical &amp; Biological Hazards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DTSTART;TZID=Africa/Johannesburg:20251029T183000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DTEND;TZID=Africa/Johannesburg:20251029T193000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Hazardous substances &amp; toxicology basics\n- Workplace infections &amp; control measures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SUMMARY:Ergonomics in the Workplace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DTSTART;TZID=Africa/Johannesburg:20251102T183000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DTEND;TZID=Africa/Johannesburg:20251102T193000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Posture &amp; workstation assessment\n- Manual handling &amp; repetitive strain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SUMMARY:Psychosocial Hazards &amp; Mental Health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DTSTART;TZID=Africa/Johannesburg:20251105T183000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DTEND;TZID=Africa/Johannesburg:20251105T193000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Stress &amp; burnout\n- Workplace violence\n- Employee Assistance Programs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SUMMARY:Occupational Health Legislation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DTSTART;TZID=Africa/Johannesburg:20251109T183000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DTEND;TZID=Africa/Johannesburg:20251109T193000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OHSA, COIDA, Labour Acts\n- Employer vs employee responsibilities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SUMMARY:Workplace Policies &amp; Risk Management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DTSTART;TZID=Africa/Johannesburg:20251112T183000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DTEND;TZID=Africa/Johannesburg:20251112T193000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Health &amp; safety committees\n- Risk assessments &amp; reporting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SUMMARY:Pre-employment &amp; Periodic Screening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DTSTART;TZID=Africa/Johannesburg:20251116T183000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DTEND;TZID=Africa/Johannesburg:20251116T193000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Fitness-to-work criteria\n- Biological monitoring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SUMMARY:Disease Surveillance &amp; Reporting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DTSTART;TZID=Africa/Johannesburg:20251119T183000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DTEND;TZID=Africa/Johannesburg:20251119T193000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DESCRIPTION:- Early detection &amp;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monitoring\n- Confidentiality &amp; documentation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SUMMARY:Occupational Diseases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DTSTART;TZID=Africa/Johannesburg:20251123T183000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DTEND;TZID=Africa/Johannesburg:20251123T193000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Silicosis, asbestosis, dermatitis\n- Noise-induced hearing loss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SUMMARY:Workplace Injuries &amp; First Aid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DTSTART;TZID=Africa/Johannesburg:20251126T183000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DTEND;TZID=Africa/Johannesburg:20251126T193000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Acute trauma management\n- Return-to-work planning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SUMMARY:Health Education &amp; Wellness Promotion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DTSTART;TZID=Africa/Johannesburg:20251130T183000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DTEND;TZID=Africa/Johannesburg:20251130T193000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Chronic disease prevention\n- Smoking cessation, nutrition, fitness programs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SUMMARY:Immunisations &amp; Infection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DTSTART;TZID=Africa/Johannesburg:20251203T183000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DTEND;TZID=Africa/Johannesburg:20251203T193000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Vaccination protocols\n- TB/HIV workplace considerations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SUMMARY:Waste Management &amp; Environmental Health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DTSTART;TZID=Africa/Johannesburg:20251207T183000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DTEND;TZID=Africa/Johannesburg:20251207T193000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Hazardous waste handling\n- Ventilation &amp; sanitation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SUMMARY:Emergency Preparedness &amp; Disaster Planning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DTSTART;TZID=Africa/Johannesburg:20251210T183000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DTEND;TZID=Africa/Johannesburg:20251210T193000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Fire safety\n- Chemical spills &amp; mass casualty response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SUMMARY:Ethics &amp; Professional Conduct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DTSTART;TZID=Africa/Johannesburg:20251214T183000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DTEND;TZID=Africa/Johannesburg:20251214T193000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Confidentiality &amp; informed consent\n- Scope of practice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BEGIN:VEVENT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SUMMARY:Research &amp; Evidence-Based Practice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DTSTART;TZID=Africa/Johannesburg:20251217T183000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DTEND;TZID=Africa/Johannesburg:20251217T193000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DESCRIPTION:- Research basics &amp; data collection\n- Critical appraisal &amp; workplace application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END:VEVENT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END:VCALENDAR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2025-10-15T07:06:53Z</dcterms:created>
  <dc:creator>Apache POI</dc:creator>
</cp:coreProperties>
</file>