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24"/>
          <w:szCs w:val="24"/>
        </w:rPr>
        <w:t xml:space="preserve">IN THE HIGH COURT OF SOUTH AFRICA</w:t>
      </w:r>
    </w:p>
    <w:p>
      <w:pPr>
        <w:spacing w:after="80" w:before="0"/>
        <w:jc w:val="center"/>
      </w:pPr>
      <w:r>
        <w:rPr>
          <w:rFonts w:ascii="Times New Roman" w:cs="Times New Roman" w:eastAsia="Times New Roman" w:hAnsi="Times New Roman"/>
          <w:b/>
          <w:bCs/>
          <w:sz w:val="24"/>
          <w:szCs w:val="24"/>
        </w:rPr>
        <w:t xml:space="preserve">WESTERN CAPE DIVISION, CAPE TOWN</w:t>
      </w:r>
    </w:p>
    <w:p>
      <w:pPr>
        <w:spacing w:after="0" w:before="200"/>
      </w:pPr>
      <w:r>
        <w:t xml:space="preserve"/>
      </w:r>
    </w:p>
    <w:p>
      <w:pPr>
        <w:spacing w:after="80" w:before="0"/>
        <w:jc w:val="center"/>
      </w:pPr>
      <w:r>
        <w:rPr>
          <w:rFonts w:ascii="Times New Roman" w:cs="Times New Roman" w:eastAsia="Times New Roman" w:hAnsi="Times New Roman"/>
          <w:b/>
          <w:bCs/>
          <w:sz w:val="24"/>
          <w:szCs w:val="24"/>
        </w:rPr>
        <w:t xml:space="preserve">CASE NO: 2026-086906</w:t>
      </w:r>
    </w:p>
    <w:p>
      <w:pPr>
        <w:spacing w:after="0" w:before="200"/>
      </w:pPr>
      <w:r>
        <w:t xml:space="preserve"/>
      </w:r>
    </w:p>
    <w:p>
      <w:pPr>
        <w:spacing w:after="80" w:before="0"/>
        <w:jc w:val="left"/>
      </w:pPr>
      <w:r>
        <w:rPr>
          <w:rFonts w:ascii="Times New Roman" w:cs="Times New Roman" w:eastAsia="Times New Roman" w:hAnsi="Times New Roman"/>
          <w:b w:val="false"/>
          <w:bCs w:val="false"/>
          <w:sz w:val="24"/>
          <w:szCs w:val="24"/>
        </w:rPr>
        <w:t xml:space="preserve">In the matter between:</w:t>
      </w:r>
    </w:p>
    <w:p>
      <w:pPr>
        <w:spacing w:after="0" w:before="120"/>
      </w:pPr>
      <w:r>
        <w:t xml:space="preserve"/>
      </w:r>
    </w:p>
    <w:p>
      <w:pPr>
        <w:spacing w:after="80" w:before="0"/>
        <w:jc w:val="both"/>
      </w:pPr>
      <w:r>
        <w:rPr>
          <w:rFonts w:ascii="Times New Roman" w:cs="Times New Roman" w:eastAsia="Times New Roman" w:hAnsi="Times New Roman"/>
          <w:b/>
          <w:bCs/>
          <w:sz w:val="24"/>
          <w:szCs w:val="24"/>
        </w:rPr>
        <w:t xml:space="preserve">AFROCENTRIC INVESTMENT CORPORATION LIMITED</w:t>
      </w:r>
      <w:r>
        <w:rPr>
          <w:rFonts w:ascii="Times New Roman" w:cs="Times New Roman" w:eastAsia="Times New Roman" w:hAnsi="Times New Roman"/>
          <w:b w:val="false"/>
          <w:bCs w:val="false"/>
          <w:sz w:val="24"/>
          <w:szCs w:val="24"/>
        </w:rPr>
        <w:t xml:space="preserve">		— Applicant</w:t>
      </w:r>
    </w:p>
    <w:p>
      <w:pPr>
        <w:spacing w:after="80" w:before="80"/>
        <w:jc w:val="center"/>
      </w:pPr>
      <w:r>
        <w:rPr>
          <w:rFonts w:ascii="Times New Roman" w:cs="Times New Roman" w:eastAsia="Times New Roman" w:hAnsi="Times New Roman"/>
          <w:b w:val="false"/>
          <w:bCs w:val="false"/>
          <w:sz w:val="24"/>
          <w:szCs w:val="24"/>
        </w:rPr>
        <w:t xml:space="preserve">and</w:t>
      </w:r>
    </w:p>
    <w:p>
      <w:pPr>
        <w:spacing w:after="80" w:before="0"/>
        <w:jc w:val="both"/>
      </w:pPr>
      <w:r>
        <w:rPr>
          <w:rFonts w:ascii="Times New Roman" w:cs="Times New Roman" w:eastAsia="Times New Roman" w:hAnsi="Times New Roman"/>
          <w:b/>
          <w:bCs/>
          <w:sz w:val="24"/>
          <w:szCs w:val="24"/>
        </w:rPr>
        <w:t xml:space="preserve">WILBUR WILLIAM MATTHEE</w:t>
      </w:r>
      <w:r>
        <w:rPr>
          <w:rFonts w:ascii="Times New Roman" w:cs="Times New Roman" w:eastAsia="Times New Roman" w:hAnsi="Times New Roman"/>
          <w:b w:val="false"/>
          <w:bCs w:val="false"/>
          <w:sz w:val="24"/>
          <w:szCs w:val="24"/>
        </w:rPr>
        <w:t xml:space="preserve">				— Respondent</w:t>
      </w:r>
    </w:p>
    <w:p>
      <w:pPr>
        <w:spacing w:after="0" w:before="240"/>
      </w:pPr>
      <w:r>
        <w:t xml:space="preserve"/>
      </w:r>
    </w:p>
    <w:p>
      <w:pPr>
        <w:pBdr>
          <w:top w:val="single" w:color="000000" w:sz="6" w:space="6"/>
          <w:bottom w:val="single" w:color="000000" w:sz="6" w:space="6"/>
        </w:pBdr>
        <w:spacing w:after="300" w:before="200"/>
        <w:jc w:val="center"/>
      </w:pPr>
      <w:r>
        <w:rPr>
          <w:rFonts w:ascii="Times New Roman" w:cs="Times New Roman" w:eastAsia="Times New Roman" w:hAnsi="Times New Roman"/>
          <w:b/>
          <w:bCs/>
          <w:caps/>
          <w:sz w:val="28"/>
          <w:szCs w:val="28"/>
        </w:rPr>
        <w:t xml:space="preserve">RESPONDENT'S PRACTICE NOTE</w:t>
      </w:r>
    </w:p>
    <w:p>
      <w:pPr>
        <w:spacing w:after="0" w:before="160"/>
      </w:pPr>
      <w:r>
        <w:t xml:space="preserve"/>
      </w:r>
    </w:p>
    <w:p>
      <w:pPr>
        <w:pBdr>
          <w:bottom w:val="single" w:color="000000" w:sz="4" w:space="4"/>
        </w:pBdr>
        <w:spacing w:after="120" w:before="240"/>
        <w:jc w:val="left"/>
      </w:pPr>
      <w:r>
        <w:rPr>
          <w:rFonts w:ascii="Times New Roman" w:cs="Times New Roman" w:eastAsia="Times New Roman" w:hAnsi="Times New Roman"/>
          <w:b/>
          <w:bCs/>
          <w:caps/>
          <w:sz w:val="24"/>
          <w:szCs w:val="24"/>
        </w:rPr>
        <w:t xml:space="preserve">1. Nature of the Matter</w:t>
      </w:r>
    </w:p>
    <w:p>
      <w:pPr>
        <w:spacing w:after="160" w:before="0"/>
        <w:jc w:val="both"/>
      </w:pPr>
      <w:r>
        <w:rPr>
          <w:rFonts w:ascii="Times New Roman" w:cs="Times New Roman" w:eastAsia="Times New Roman" w:hAnsi="Times New Roman"/>
          <w:b w:val="false"/>
          <w:bCs w:val="false"/>
          <w:sz w:val="24"/>
          <w:szCs w:val="24"/>
        </w:rPr>
        <w:t xml:space="preserve">The matter is the return day of a rule nisi granted on 16 April 2026. The Applicant seeks a final interdict. The Respondent opposes the confirmation of the rule nisi and persists with a Counter-Application for declaratory relief.</w:t>
      </w:r>
    </w:p>
    <w:p>
      <w:pPr>
        <w:pBdr>
          <w:bottom w:val="single" w:color="000000" w:sz="4" w:space="4"/>
        </w:pBdr>
        <w:spacing w:after="120" w:before="240"/>
        <w:jc w:val="left"/>
      </w:pPr>
      <w:r>
        <w:rPr>
          <w:rFonts w:ascii="Times New Roman" w:cs="Times New Roman" w:eastAsia="Times New Roman" w:hAnsi="Times New Roman"/>
          <w:b/>
          <w:bCs/>
          <w:caps/>
          <w:sz w:val="24"/>
          <w:szCs w:val="24"/>
        </w:rPr>
        <w:t xml:space="preserve">2. Issues to be Argued</w:t>
      </w:r>
    </w:p>
    <w:p>
      <w:pPr>
        <w:spacing w:after="100" w:before="0"/>
        <w:jc w:val="both"/>
      </w:pPr>
      <w:r>
        <w:rPr>
          <w:rFonts w:ascii="Times New Roman" w:cs="Times New Roman" w:eastAsia="Times New Roman" w:hAnsi="Times New Roman"/>
          <w:b/>
          <w:bCs/>
          <w:sz w:val="24"/>
          <w:szCs w:val="24"/>
        </w:rPr>
        <w:t xml:space="preserve">2.1  Procedural Integrity: </w:t>
      </w:r>
      <w:r>
        <w:rPr>
          <w:rFonts w:ascii="Times New Roman" w:cs="Times New Roman" w:eastAsia="Times New Roman" w:hAnsi="Times New Roman"/>
          <w:sz w:val="24"/>
          <w:szCs w:val="24"/>
        </w:rPr>
        <w:t xml:space="preserve">The Respondent's Counter-Application is procedurally sound and unconditional. It seeks to resolve the underlying administrative deadlock caused by the Applicant's systemic obstruction.</w:t>
      </w:r>
    </w:p>
    <w:p>
      <w:pPr>
        <w:spacing w:after="100" w:before="0"/>
        <w:jc w:val="both"/>
      </w:pPr>
      <w:r>
        <w:rPr>
          <w:rFonts w:ascii="Times New Roman" w:cs="Times New Roman" w:eastAsia="Times New Roman" w:hAnsi="Times New Roman"/>
          <w:b/>
          <w:bCs/>
          <w:sz w:val="24"/>
          <w:szCs w:val="24"/>
        </w:rPr>
        <w:t xml:space="preserve">2.2  Locus Standi &amp; Unclean Hands: </w:t>
      </w:r>
      <w:r>
        <w:rPr>
          <w:rFonts w:ascii="Times New Roman" w:cs="Times New Roman" w:eastAsia="Times New Roman" w:hAnsi="Times New Roman"/>
          <w:sz w:val="24"/>
          <w:szCs w:val="24"/>
        </w:rPr>
        <w:t xml:space="preserve">The Applicant lacks standing to seek an interdict for systems it claims are operated by its subsidiary, and it approaches this Court with "unclean hands" due to conflicting statements (perjury) made across this Court and the Labour Court.</w:t>
      </w:r>
    </w:p>
    <w:p>
      <w:pPr>
        <w:spacing w:after="100" w:before="0"/>
        <w:jc w:val="both"/>
      </w:pPr>
      <w:r>
        <w:rPr>
          <w:rFonts w:ascii="Times New Roman" w:cs="Times New Roman" w:eastAsia="Times New Roman" w:hAnsi="Times New Roman"/>
          <w:b/>
          <w:bCs/>
          <w:sz w:val="24"/>
          <w:szCs w:val="24"/>
        </w:rPr>
        <w:t xml:space="preserve">2.3  Whistleblowing Protection: </w:t>
      </w:r>
      <w:r>
        <w:rPr>
          <w:rFonts w:ascii="Times New Roman" w:cs="Times New Roman" w:eastAsia="Times New Roman" w:hAnsi="Times New Roman"/>
          <w:sz w:val="24"/>
          <w:szCs w:val="24"/>
        </w:rPr>
        <w:t xml:space="preserve">The Respondent's communications are protected under Section 9 of the Protected Disclosures Act 26 of 2000. The interdict sought by the Applicant is a SLAPP suit designed to suppress statutory compliance reporting.</w:t>
      </w:r>
    </w:p>
    <w:p>
      <w:pPr>
        <w:spacing w:after="160" w:before="0"/>
        <w:jc w:val="both"/>
      </w:pPr>
      <w:r>
        <w:rPr>
          <w:rFonts w:ascii="Times New Roman" w:cs="Times New Roman" w:eastAsia="Times New Roman" w:hAnsi="Times New Roman"/>
          <w:b/>
          <w:bCs/>
          <w:sz w:val="24"/>
          <w:szCs w:val="24"/>
        </w:rPr>
        <w:t xml:space="preserve">2.4  Systemic Data Risks: </w:t>
      </w:r>
      <w:r>
        <w:rPr>
          <w:rFonts w:ascii="Times New Roman" w:cs="Times New Roman" w:eastAsia="Times New Roman" w:hAnsi="Times New Roman"/>
          <w:sz w:val="24"/>
          <w:szCs w:val="24"/>
        </w:rPr>
        <w:t xml:space="preserve">The matter involves critical concerns regarding data integrity (POPIA) within the Applicant's "Gexus/DMS" infrastructure, which the Respondent was legally obligated to escalate.</w:t>
      </w:r>
    </w:p>
    <w:p>
      <w:pPr>
        <w:pBdr>
          <w:bottom w:val="single" w:color="000000" w:sz="4" w:space="4"/>
        </w:pBdr>
        <w:spacing w:after="120" w:before="240"/>
        <w:jc w:val="left"/>
      </w:pPr>
      <w:r>
        <w:rPr>
          <w:rFonts w:ascii="Times New Roman" w:cs="Times New Roman" w:eastAsia="Times New Roman" w:hAnsi="Times New Roman"/>
          <w:b/>
          <w:bCs/>
          <w:caps/>
          <w:sz w:val="24"/>
          <w:szCs w:val="24"/>
        </w:rPr>
        <w:t xml:space="preserve">3. Relief Sought</w:t>
      </w:r>
    </w:p>
    <w:p>
      <w:pPr>
        <w:spacing w:after="160" w:before="0"/>
        <w:jc w:val="both"/>
      </w:pPr>
      <w:r>
        <w:rPr>
          <w:rFonts w:ascii="Times New Roman" w:cs="Times New Roman" w:eastAsia="Times New Roman" w:hAnsi="Times New Roman"/>
          <w:b/>
          <w:bCs/>
          <w:sz w:val="24"/>
          <w:szCs w:val="24"/>
        </w:rPr>
        <w:t xml:space="preserve">Respondent's Primary Relief: </w:t>
      </w:r>
      <w:r>
        <w:rPr>
          <w:rFonts w:ascii="Times New Roman" w:cs="Times New Roman" w:eastAsia="Times New Roman" w:hAnsi="Times New Roman"/>
          <w:sz w:val="24"/>
          <w:szCs w:val="24"/>
        </w:rPr>
        <w:t xml:space="preserve">Discharge of the rule nisi with costs on an attorney-and-client scale; granting of the Counter-Application for declaratory relief; and the referral of the case file to the Information Regulator and the NDPP for investigation of perjuries and statutory fraud.</w:t>
      </w:r>
    </w:p>
    <w:p>
      <w:pPr>
        <w:pBdr>
          <w:bottom w:val="single" w:color="000000" w:sz="4" w:space="4"/>
        </w:pBdr>
        <w:spacing w:after="120" w:before="240"/>
        <w:jc w:val="left"/>
      </w:pPr>
      <w:r>
        <w:rPr>
          <w:rFonts w:ascii="Times New Roman" w:cs="Times New Roman" w:eastAsia="Times New Roman" w:hAnsi="Times New Roman"/>
          <w:b/>
          <w:bCs/>
          <w:caps/>
          <w:sz w:val="24"/>
          <w:szCs w:val="24"/>
        </w:rPr>
        <w:t xml:space="preserve">4. Estimated Duration of Argument</w:t>
      </w:r>
    </w:p>
    <w:p>
      <w:pPr>
        <w:spacing w:after="160" w:before="0"/>
        <w:jc w:val="both"/>
      </w:pPr>
      <w:r>
        <w:rPr>
          <w:rFonts w:ascii="Times New Roman" w:cs="Times New Roman" w:eastAsia="Times New Roman" w:hAnsi="Times New Roman"/>
          <w:b w:val="false"/>
          <w:bCs w:val="false"/>
          <w:sz w:val="24"/>
          <w:szCs w:val="24"/>
        </w:rPr>
        <w:t xml:space="preserve">Approximately 45–60 minutes.</w:t>
      </w:r>
    </w:p>
    <w:p>
      <w:pPr>
        <w:pBdr>
          <w:bottom w:val="single" w:color="000000" w:sz="4" w:space="4"/>
        </w:pBdr>
        <w:spacing w:after="120" w:before="240"/>
        <w:jc w:val="left"/>
      </w:pPr>
      <w:r>
        <w:rPr>
          <w:rFonts w:ascii="Times New Roman" w:cs="Times New Roman" w:eastAsia="Times New Roman" w:hAnsi="Times New Roman"/>
          <w:b/>
          <w:bCs/>
          <w:caps/>
          <w:sz w:val="24"/>
          <w:szCs w:val="24"/>
        </w:rPr>
        <w:t xml:space="preserve">5. Relevant Authorities</w:t>
      </w:r>
    </w:p>
    <w:p>
      <w:pPr>
        <w:spacing w:after="80" w:before="0"/>
        <w:jc w:val="both"/>
      </w:pPr>
      <w:r>
        <w:rPr>
          <w:rFonts w:ascii="Times New Roman" w:cs="Times New Roman" w:eastAsia="Times New Roman" w:hAnsi="Times New Roman"/>
          <w:sz w:val="24"/>
          <w:szCs w:val="24"/>
        </w:rPr>
        <w:t xml:space="preserve">5.1  </w:t>
      </w:r>
      <w:r>
        <w:rPr>
          <w:rFonts w:ascii="Times New Roman" w:cs="Times New Roman" w:eastAsia="Times New Roman" w:hAnsi="Times New Roman"/>
          <w:b/>
          <w:bCs/>
          <w:i/>
          <w:iCs/>
          <w:sz w:val="24"/>
          <w:szCs w:val="24"/>
        </w:rPr>
        <w:t xml:space="preserve">Minister of Health v New Clicks SA (Pty) Ltd</w:t>
      </w:r>
      <w:r>
        <w:rPr>
          <w:rFonts w:ascii="Times New Roman" w:cs="Times New Roman" w:eastAsia="Times New Roman" w:hAnsi="Times New Roman"/>
          <w:sz w:val="24"/>
          <w:szCs w:val="24"/>
        </w:rPr>
        <w:t xml:space="preserve"> 2006 (2) SA 311 (CC) — Inherent jurisdiction for declaratory relief.</w:t>
      </w:r>
    </w:p>
    <w:p>
      <w:pPr>
        <w:spacing w:after="80" w:before="0"/>
        <w:jc w:val="both"/>
      </w:pPr>
      <w:r>
        <w:rPr>
          <w:rFonts w:ascii="Times New Roman" w:cs="Times New Roman" w:eastAsia="Times New Roman" w:hAnsi="Times New Roman"/>
          <w:sz w:val="24"/>
          <w:szCs w:val="24"/>
        </w:rPr>
        <w:t xml:space="preserve">5.2  </w:t>
      </w:r>
      <w:r>
        <w:rPr>
          <w:rFonts w:ascii="Times New Roman" w:cs="Times New Roman" w:eastAsia="Times New Roman" w:hAnsi="Times New Roman"/>
          <w:b/>
          <w:bCs/>
          <w:i/>
          <w:iCs/>
          <w:sz w:val="24"/>
          <w:szCs w:val="24"/>
        </w:rPr>
        <w:t xml:space="preserve">Protected Disclosures Act 26 of 2000</w:t>
      </w:r>
      <w:r>
        <w:rPr>
          <w:rFonts w:ascii="Times New Roman" w:cs="Times New Roman" w:eastAsia="Times New Roman" w:hAnsi="Times New Roman"/>
          <w:sz w:val="24"/>
          <w:szCs w:val="24"/>
        </w:rPr>
        <w:t xml:space="preserve"> — Whistleblowing protections.</w:t>
      </w:r>
    </w:p>
    <w:p>
      <w:pPr>
        <w:spacing w:after="80" w:before="0"/>
        <w:jc w:val="both"/>
      </w:pPr>
      <w:r>
        <w:rPr>
          <w:rFonts w:ascii="Times New Roman" w:cs="Times New Roman" w:eastAsia="Times New Roman" w:hAnsi="Times New Roman"/>
          <w:sz w:val="24"/>
          <w:szCs w:val="24"/>
        </w:rPr>
        <w:t xml:space="preserve">5.3  </w:t>
      </w:r>
      <w:r>
        <w:rPr>
          <w:rFonts w:ascii="Times New Roman" w:cs="Times New Roman" w:eastAsia="Times New Roman" w:hAnsi="Times New Roman"/>
          <w:b/>
          <w:bCs/>
          <w:i/>
          <w:iCs/>
          <w:sz w:val="24"/>
          <w:szCs w:val="24"/>
        </w:rPr>
        <w:t xml:space="preserve">Protection of Personal Information Act 4 of 2013</w:t>
      </w:r>
      <w:r>
        <w:rPr>
          <w:rFonts w:ascii="Times New Roman" w:cs="Times New Roman" w:eastAsia="Times New Roman" w:hAnsi="Times New Roman"/>
          <w:sz w:val="24"/>
          <w:szCs w:val="24"/>
        </w:rPr>
        <w:t xml:space="preserve"> — Data integrity and security.</w:t>
      </w:r>
    </w:p>
    <w:p>
      <w:pPr>
        <w:spacing w:after="160" w:before="0"/>
        <w:jc w:val="both"/>
      </w:pPr>
      <w:r>
        <w:rPr>
          <w:rFonts w:ascii="Times New Roman" w:cs="Times New Roman" w:eastAsia="Times New Roman" w:hAnsi="Times New Roman"/>
          <w:sz w:val="24"/>
          <w:szCs w:val="24"/>
        </w:rPr>
        <w:t xml:space="preserve">5.4  </w:t>
      </w:r>
      <w:r>
        <w:rPr>
          <w:rFonts w:ascii="Times New Roman" w:cs="Times New Roman" w:eastAsia="Times New Roman" w:hAnsi="Times New Roman"/>
          <w:b/>
          <w:bCs/>
          <w:i/>
          <w:iCs/>
          <w:sz w:val="24"/>
          <w:szCs w:val="24"/>
        </w:rPr>
        <w:t xml:space="preserve">Bhisho High Court Case No. 148/2020</w:t>
      </w:r>
      <w:r>
        <w:rPr>
          <w:rFonts w:ascii="Times New Roman" w:cs="Times New Roman" w:eastAsia="Times New Roman" w:hAnsi="Times New Roman"/>
          <w:sz w:val="24"/>
          <w:szCs w:val="24"/>
        </w:rPr>
        <w:t xml:space="preserve"> — Procedural precedent for unconditional counter-applications.</w:t>
      </w:r>
    </w:p>
    <w:p>
      <w:pPr>
        <w:pBdr>
          <w:bottom w:val="single" w:color="000000" w:sz="4" w:space="4"/>
        </w:pBdr>
        <w:spacing w:after="120" w:before="240"/>
        <w:jc w:val="left"/>
      </w:pPr>
      <w:r>
        <w:rPr>
          <w:rFonts w:ascii="Times New Roman" w:cs="Times New Roman" w:eastAsia="Times New Roman" w:hAnsi="Times New Roman"/>
          <w:b/>
          <w:bCs/>
          <w:caps/>
          <w:sz w:val="24"/>
          <w:szCs w:val="24"/>
        </w:rPr>
        <w:t xml:space="preserve">6. Documents for Reference</w:t>
      </w:r>
    </w:p>
    <w:p>
      <w:pPr>
        <w:spacing w:after="60" w:before="0"/>
        <w:jc w:val="both"/>
      </w:pPr>
      <w:r>
        <w:rPr>
          <w:rFonts w:ascii="Times New Roman" w:cs="Times New Roman" w:eastAsia="Times New Roman" w:hAnsi="Times New Roman"/>
          <w:b w:val="false"/>
          <w:bCs w:val="false"/>
          <w:sz w:val="24"/>
          <w:szCs w:val="24"/>
        </w:rPr>
        <w:t xml:space="preserve">6.1  Founding Affidavit (16 April 2026).</w:t>
      </w:r>
    </w:p>
    <w:p>
      <w:pPr>
        <w:spacing w:after="60" w:before="0"/>
        <w:jc w:val="both"/>
      </w:pPr>
      <w:r>
        <w:rPr>
          <w:rFonts w:ascii="Times New Roman" w:cs="Times New Roman" w:eastAsia="Times New Roman" w:hAnsi="Times New Roman"/>
          <w:b w:val="false"/>
          <w:bCs w:val="false"/>
          <w:sz w:val="24"/>
          <w:szCs w:val="24"/>
        </w:rPr>
        <w:t xml:space="preserve">6.2  Respondent's Final Consolidated Supplementary Answering Affidavit (incorporating Counter-Application).</w:t>
      </w:r>
    </w:p>
    <w:p>
      <w:pPr>
        <w:spacing w:after="60" w:before="0"/>
        <w:jc w:val="both"/>
      </w:pPr>
      <w:r>
        <w:rPr>
          <w:rFonts w:ascii="Times New Roman" w:cs="Times New Roman" w:eastAsia="Times New Roman" w:hAnsi="Times New Roman"/>
          <w:b w:val="false"/>
          <w:bCs w:val="false"/>
          <w:sz w:val="24"/>
          <w:szCs w:val="24"/>
        </w:rPr>
        <w:t xml:space="preserve">6.3  Applicant's Supplementary Founding Affidavit (4 May 2026).</w:t>
      </w:r>
    </w:p>
    <w:p>
      <w:pPr>
        <w:spacing w:after="240" w:before="0"/>
        <w:jc w:val="both"/>
      </w:pPr>
      <w:r>
        <w:rPr>
          <w:rFonts w:ascii="Times New Roman" w:cs="Times New Roman" w:eastAsia="Times New Roman" w:hAnsi="Times New Roman"/>
          <w:b w:val="false"/>
          <w:bCs w:val="false"/>
          <w:sz w:val="24"/>
          <w:szCs w:val="24"/>
        </w:rPr>
        <w:t xml:space="preserve">6.4  Labour Court Statement of Response (19 May 2026) – for perjury comparison.</w:t>
      </w:r>
    </w:p>
    <w:p>
      <w:pPr>
        <w:pBdr>
          <w:top w:val="single" w:color="000000" w:sz="4" w:space="8"/>
        </w:pBdr>
        <w:spacing w:after="80" w:before="240"/>
        <w:jc w:val="left"/>
      </w:pPr>
      <w:r>
        <w:rPr>
          <w:rFonts w:ascii="Times New Roman" w:cs="Times New Roman" w:eastAsia="Times New Roman" w:hAnsi="Times New Roman"/>
          <w:b/>
          <w:bCs/>
          <w:sz w:val="24"/>
          <w:szCs w:val="24"/>
        </w:rPr>
        <w:t xml:space="preserve">DATED AT CAPE TOWN ON THIS 21ST DAY OF MAY 2026</w:t>
      </w:r>
    </w:p>
    <w:p>
      <w:pPr>
        <w:spacing w:after="0" w:before="400"/>
      </w:pPr>
      <w:r>
        <w:t xml:space="preserve"/>
      </w:r>
    </w:p>
    <w:p>
      <w:pPr>
        <w:spacing w:after="80" w:before="0"/>
        <w:jc w:val="left"/>
      </w:pPr>
      <w:r>
        <w:rPr>
          <w:rFonts w:ascii="Times New Roman" w:cs="Times New Roman" w:eastAsia="Times New Roman" w:hAnsi="Times New Roman"/>
          <w:b w:val="false"/>
          <w:bCs w:val="false"/>
          <w:sz w:val="24"/>
          <w:szCs w:val="24"/>
        </w:rPr>
        <w:t xml:space="preserve">___________________________</w:t>
      </w:r>
    </w:p>
    <w:p>
      <w:pPr>
        <w:spacing w:after="80" w:before="0"/>
        <w:jc w:val="left"/>
      </w:pPr>
      <w:r>
        <w:rPr>
          <w:rFonts w:ascii="Times New Roman" w:cs="Times New Roman" w:eastAsia="Times New Roman" w:hAnsi="Times New Roman"/>
          <w:b/>
          <w:bCs/>
          <w:sz w:val="24"/>
          <w:szCs w:val="24"/>
        </w:rPr>
        <w:t xml:space="preserve">WILBUR WILLIAM MATTHEE</w:t>
      </w:r>
    </w:p>
    <w:p>
      <w:pPr>
        <w:spacing w:after="60" w:before="0"/>
        <w:jc w:val="left"/>
      </w:pPr>
      <w:r>
        <w:rPr>
          <w:rFonts w:ascii="Times New Roman" w:cs="Times New Roman" w:eastAsia="Times New Roman" w:hAnsi="Times New Roman"/>
          <w:b w:val="false"/>
          <w:bCs w:val="false"/>
          <w:sz w:val="24"/>
          <w:szCs w:val="24"/>
        </w:rPr>
        <w:t xml:space="preserve">Respondent (Acting in Person)</w:t>
      </w:r>
    </w:p>
    <w:p>
      <w:pPr>
        <w:spacing w:after="80" w:before="0"/>
        <w:jc w:val="left"/>
      </w:pPr>
      <w:r>
        <w:rPr>
          <w:rFonts w:ascii="Times New Roman" w:cs="Times New Roman" w:eastAsia="Times New Roman" w:hAnsi="Times New Roman"/>
          <w:b w:val="false"/>
          <w:bCs w:val="false"/>
          <w:sz w:val="24"/>
          <w:szCs w:val="24"/>
        </w:rPr>
        <w:t xml:space="preserve">info@ethichawks.co.za | 069 635 1435</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2026-05-25T10:53:38.175Z</dcterms:created>
  <dcterms:modified xsi:type="dcterms:W3CDTF">2026-05-25T10:53:38.175Z</dcterms:modified>
</cp:coreProperties>
</file>

<file path=docProps/custom.xml><?xml version="1.0" encoding="utf-8"?>
<Properties xmlns="http://schemas.openxmlformats.org/officeDocument/2006/custom-properties" xmlns:vt="http://schemas.openxmlformats.org/officeDocument/2006/docPropsVTypes"/>
</file>