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04040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04040"/>
          <w:sz w:val="144"/>
          <w:szCs w:val="144"/>
        </w:rPr>
        <w:t xml:space="preserve">"A"</w:t>
      </w:r>
    </w:p>
    <w:p>
      <w:pPr>
        <w:pBdr>
          <w:bottom w:val="single" w:color="404040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Share Certificate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AfroCentric Investment Corporation Limited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404040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"A"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404040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04040"/>
          <w:sz w:val="144"/>
          <w:szCs w:val="144"/>
        </w:rPr>
        <w:t xml:space="preserve">"B"</w:t>
      </w:r>
    </w:p>
    <w:p>
      <w:pPr>
        <w:pBdr>
          <w:bottom w:val="single" w:color="404040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CIPC Registration Details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AfroCentric Investment Corporation Limited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404040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"B"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404040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04040"/>
          <w:sz w:val="144"/>
          <w:szCs w:val="144"/>
        </w:rPr>
        <w:t xml:space="preserve">"C"</w:t>
      </w:r>
    </w:p>
    <w:p>
      <w:pPr>
        <w:pBdr>
          <w:bottom w:val="single" w:color="404040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Interview Invitation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Neo Sekgoka, AfroCentric Health — 15 January 2024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404040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"C"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144"/>
          <w:szCs w:val="144"/>
        </w:rPr>
        <w:t xml:space="preserve">"D"</w:t>
      </w:r>
    </w:p>
    <w:p>
      <w:pPr>
        <w:pBdr>
          <w:bottom w:val="single" w:color="1F3864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A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Employment Contract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AfroCentric Investment Corporation letterhead — 9 April 2024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⬛  KEY EVIDENCE — Please refer to Practice Note paragraph 3.2</w:t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"D"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404040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04040"/>
          <w:sz w:val="144"/>
          <w:szCs w:val="144"/>
        </w:rPr>
        <w:t xml:space="preserve">"E"</w:t>
      </w:r>
    </w:p>
    <w:p>
      <w:pPr>
        <w:pBdr>
          <w:bottom w:val="single" w:color="404040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Case Manager Email Signature Screenshot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NQF Level 8 qualifications displayed — 15 October 2025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404040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"E"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144"/>
          <w:szCs w:val="144"/>
        </w:rPr>
        <w:t xml:space="preserve">"F"</w:t>
      </w:r>
    </w:p>
    <w:p>
      <w:pPr>
        <w:pBdr>
          <w:bottom w:val="single" w:color="1F3864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A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Cheryl-Dawn Modern Written Admission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B-BBEE Naming Convention — 19 January 2026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⬛  KEY EVIDENCE — Please refer to Practice Note paragraph 3.2</w:t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"F"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404040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04040"/>
          <w:sz w:val="144"/>
          <w:szCs w:val="144"/>
        </w:rPr>
        <w:t xml:space="preserve">"G"</w:t>
      </w:r>
    </w:p>
    <w:p>
      <w:pPr>
        <w:pBdr>
          <w:bottom w:val="single" w:color="404040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July 2025 First Aider Roster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Acting H&amp;S Committee Chairperson — Searle Street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404040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"G"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404040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04040"/>
          <w:sz w:val="144"/>
          <w:szCs w:val="144"/>
        </w:rPr>
        <w:t xml:space="preserve">"H"</w:t>
      </w:r>
    </w:p>
    <w:p>
      <w:pPr>
        <w:pBdr>
          <w:bottom w:val="single" w:color="404040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Mental Health Disclosure + Psychiatric Letter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Dr Jacques Malan FCPsych(SA) — 16 May 2025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404040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"H"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144"/>
          <w:szCs w:val="144"/>
        </w:rPr>
        <w:t xml:space="preserve">"I"</w:t>
      </w:r>
    </w:p>
    <w:p>
      <w:pPr>
        <w:pBdr>
          <w:bottom w:val="single" w:color="1F3864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A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July 2025 Payslip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Unlawful deduction 40.47% — R14,811.77 of R36,588.81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⬛  KEY EVIDENCE — Please refer to Practice Note paragraph 3.2</w:t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"I"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404040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04040"/>
          <w:sz w:val="144"/>
          <w:szCs w:val="144"/>
        </w:rPr>
        <w:t xml:space="preserve">"J"</w:t>
      </w:r>
    </w:p>
    <w:p>
      <w:pPr>
        <w:pBdr>
          <w:bottom w:val="single" w:color="404040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Formal Dispute — Unlawful Deduction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Email to Cheryl-Dawn Modern — 11 November 2025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404040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"J"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404040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04040"/>
          <w:sz w:val="144"/>
          <w:szCs w:val="144"/>
        </w:rPr>
        <w:t xml:space="preserve">"K"</w:t>
      </w:r>
    </w:p>
    <w:p>
      <w:pPr>
        <w:pBdr>
          <w:bottom w:val="single" w:color="404040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Executive De-Escalation Email Chain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Bongani Luvuno / Gerald Van Wyk — 5–8 December 2025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404040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"K"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144"/>
          <w:szCs w:val="144"/>
        </w:rPr>
        <w:t xml:space="preserve">"L"</w:t>
      </w:r>
    </w:p>
    <w:p>
      <w:pPr>
        <w:pBdr>
          <w:bottom w:val="single" w:color="1F3864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A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GRC1: Priority 1 Material Risk Report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38 attachments — Board Escalation — 9 December 2025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⬛  KEY EVIDENCE — Please refer to Practice Note paragraph 3.2</w:t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"L"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404040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04040"/>
          <w:sz w:val="144"/>
          <w:szCs w:val="144"/>
        </w:rPr>
        <w:t xml:space="preserve">"M"</w:t>
      </w:r>
    </w:p>
    <w:p>
      <w:pPr>
        <w:pBdr>
          <w:bottom w:val="single" w:color="404040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CCMA Notice of Opposition / Opposing Affidavit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10 December 2025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404040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"M"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404040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04040"/>
          <w:sz w:val="144"/>
          <w:szCs w:val="144"/>
        </w:rPr>
        <w:t xml:space="preserve">"N"</w:t>
      </w:r>
    </w:p>
    <w:p>
      <w:pPr>
        <w:pBdr>
          <w:bottom w:val="single" w:color="404040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GRC2: CCMA Affidavit Update to Board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11 December 2025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404040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"N"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404040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04040"/>
          <w:sz w:val="144"/>
          <w:szCs w:val="144"/>
        </w:rPr>
        <w:t xml:space="preserve">"O"</w:t>
      </w:r>
    </w:p>
    <w:p>
      <w:pPr>
        <w:pBdr>
          <w:bottom w:val="single" w:color="404040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Formal Notice of Constructive Dismissal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11 December 2025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404040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"O"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404040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04040"/>
          <w:sz w:val="144"/>
          <w:szCs w:val="144"/>
        </w:rPr>
        <w:t xml:space="preserve">"P"</w:t>
      </w:r>
    </w:p>
    <w:p>
      <w:pPr>
        <w:pBdr>
          <w:bottom w:val="single" w:color="404040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GRC3: Maximum Severity GRC Escalation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Audio recording of "insubordination" statement — 16 December 2025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404040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"P"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404040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04040"/>
          <w:sz w:val="144"/>
          <w:szCs w:val="144"/>
        </w:rPr>
        <w:t xml:space="preserve">"Q"</w:t>
      </w:r>
    </w:p>
    <w:p>
      <w:pPr>
        <w:pBdr>
          <w:bottom w:val="single" w:color="404040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CRO Suppression Email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Instruction to cease communicating with Board — 18 December 2025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404040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"Q"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404040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04040"/>
          <w:sz w:val="144"/>
          <w:szCs w:val="144"/>
        </w:rPr>
        <w:t xml:space="preserve">"R–U"</w:t>
      </w:r>
    </w:p>
    <w:p>
      <w:pPr>
        <w:pBdr>
          <w:bottom w:val="single" w:color="404040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Exit Document Correspondence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UI-19 and statutory documents — 7–19 January 2026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404040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"R–U"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144"/>
          <w:szCs w:val="144"/>
        </w:rPr>
        <w:t xml:space="preserve">"V"</w:t>
      </w:r>
    </w:p>
    <w:p>
      <w:pPr>
        <w:pBdr>
          <w:bottom w:val="single" w:color="1F3864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A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False UIF Compliance Evidence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August 2025 payroll submitted as June 2025 proof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⬛  KEY EVIDENCE — Please refer to Practice Note paragraph 3.2</w:t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"V"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144"/>
          <w:szCs w:val="144"/>
        </w:rPr>
        <w:t xml:space="preserve">"W"</w:t>
      </w:r>
    </w:p>
    <w:p>
      <w:pPr>
        <w:pBdr>
          <w:bottom w:val="single" w:color="1F3864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A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uFiling Screenshot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June 2025 non-declaration + R8,863.15 July 2025 gap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⬛  KEY EVIDENCE — Please refer to Practice Note paragraph 3.2</w:t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"W"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404040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04040"/>
          <w:sz w:val="144"/>
          <w:szCs w:val="144"/>
        </w:rPr>
        <w:t xml:space="preserve">"X"</w:t>
      </w:r>
    </w:p>
    <w:p>
      <w:pPr>
        <w:pBdr>
          <w:bottom w:val="single" w:color="404040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SAHRC Comprehensive Update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11 institutions — 13 March 2026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404040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"X"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404040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04040"/>
          <w:sz w:val="144"/>
          <w:szCs w:val="144"/>
        </w:rPr>
        <w:t xml:space="preserve">"Y"</w:t>
      </w:r>
    </w:p>
    <w:p>
      <w:pPr>
        <w:pBdr>
          <w:bottom w:val="single" w:color="404040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Email to CEO Gerald Van Wyk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Mental health disclosure and violations — 4 December 2025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404040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"Y"     |     Page: ___</w:t>
      </w:r>
    </w:p>
    <w:p>
      <w:pPr>
        <w:sectPr>
          <w:pgSz w:w="16838" w:h="11906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36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Matthee v Fernandes &amp; Others  |  Western Cape High Court  |  Case No: _______________</w:t>
      </w:r>
    </w:p>
    <w:p>
      <w:pPr>
        <w:spacing w:line="240" w:lineRule="auto" w:before="454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95959"/>
          <w:sz w:val="26"/>
          <w:szCs w:val="26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144"/>
          <w:szCs w:val="144"/>
        </w:rPr>
        <w:t xml:space="preserve">"Z"</w:t>
      </w:r>
    </w:p>
    <w:p>
      <w:pPr>
        <w:pBdr>
          <w:bottom w:val="single" w:color="1F3864" w:sz="8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1"/>
      </w:tblGrid>
      <w:tr>
        <w:tc>
          <w:tcPr>
            <w:tcW w:type="dxa" w:w="822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A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8"/>
                <w:szCs w:val="28"/>
              </w:rPr>
              <w:t xml:space="preserve">Final Good Faith Notice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To Individual Respondents via Company Secretary — 14 March 2026</w:t>
            </w:r>
          </w:p>
        </w:tc>
      </w:tr>
    </w:tbl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⬛  KEY EVIDENCE — Please refer to Practice Note paragraph 3.2</w:t>
      </w:r>
    </w:p>
    <w:p>
      <w:pPr>
        <w:spacing w:line="240"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Founding Affidavit reference: Annexure "Z"     |     Page: ___</w:t>
      </w:r>
    </w:p>
    <w:sectPr>
      <w:pgSz w:w="16838" w:h="11906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2026-03-17T05:47:28.814Z</dcterms:created>
  <dcterms:modified xsi:type="dcterms:W3CDTF">2026-03-17T05:47:28.814Z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