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auto" w:before="0" w:after="40"/>
        <w:jc w:val="center"/>
      </w:pPr>
      <w:r>
        <w:rPr>
          <w:rFonts w:ascii="Times New Roman" w:cs="Times New Roman" w:eastAsia="Times New Roman" w:hAnsi="Times New Roman"/>
          <w:b/>
          <w:bCs/>
          <w:i w:val="false"/>
          <w:iCs w:val="false"/>
          <w:sz w:val="24"/>
          <w:szCs w:val="24"/>
        </w:rPr>
        <w:t xml:space="preserve">IN THE HIGH COURT OF SOUTH AFRICA</w:t>
      </w:r>
    </w:p>
    <w:p>
      <w:pPr>
        <w:spacing w:line="240" w:lineRule="auto" w:before="0" w:after="40"/>
        <w:jc w:val="center"/>
      </w:pPr>
      <w:r>
        <w:rPr>
          <w:rFonts w:ascii="Times New Roman" w:cs="Times New Roman" w:eastAsia="Times New Roman" w:hAnsi="Times New Roman"/>
          <w:b/>
          <w:bCs/>
          <w:i w:val="false"/>
          <w:iCs w:val="false"/>
          <w:sz w:val="24"/>
          <w:szCs w:val="24"/>
        </w:rPr>
        <w:t xml:space="preserve">(WESTERN CAPE DIVISION, CAPE TOWN)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bCs/>
          <w:i w:val="false"/>
          <w:iCs w:val="false"/>
          <w:sz w:val="24"/>
          <w:szCs w:val="24"/>
        </w:rPr>
        <w:t xml:space="preserve">Case No:  2026-066952</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bCs/>
          <w:i w:val="false"/>
          <w:iCs w:val="false"/>
          <w:sz w:val="24"/>
          <w:szCs w:val="24"/>
        </w:rPr>
        <w:t xml:space="preserve">In the matter between: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WILBUR WILLIAM MATTHEE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Applicant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(Identity Number: 8909035151087)</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center"/>
      </w:pPr>
      <w:r>
        <w:rPr>
          <w:rFonts w:ascii="Times New Roman" w:cs="Times New Roman" w:eastAsia="Times New Roman" w:hAnsi="Times New Roman"/>
          <w:b w:val="false"/>
          <w:bCs w:val="false"/>
          <w:i w:val="false"/>
          <w:iCs w:val="false"/>
          <w:sz w:val="24"/>
          <w:szCs w:val="24"/>
        </w:rPr>
        <w:t xml:space="preserve">and</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BRUNO FERNANDES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First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(Lead Independent Director)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DR NKATEKO MUNISI</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Second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(Chairperson: Social and Ethics Committee)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MS ALICE LE ROUX</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Third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(Chairperson: Audit and Risk Committee)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MR GERALD VAN WYK</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Fourth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(Chief Executive Officer)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LSM MPUMLWANA</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Fifth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(Group Company Secretary)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right" w:pos="8221"/>
        </w:tabs>
        <w:spacing w:line="240" w:lineRule="auto" w:before="0" w:after="30"/>
        <w:jc w:val="both"/>
      </w:pPr>
      <w:r>
        <w:rPr>
          <w:rFonts w:ascii="Times New Roman" w:cs="Times New Roman" w:eastAsia="Times New Roman" w:hAnsi="Times New Roman"/>
          <w:b/>
          <w:bCs/>
          <w:i w:val="false"/>
          <w:iCs w:val="false"/>
          <w:sz w:val="24"/>
          <w:szCs w:val="24"/>
        </w:rPr>
        <w:t xml:space="preserve">AFROCENTRIC INVESTMENT CORPORATION LIMITED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Sixth Respondent</w:t>
      </w:r>
    </w:p>
    <w:p>
      <w:pPr>
        <w:spacing w:line="240" w:lineRule="auto" w:before="0" w:after="40"/>
        <w:ind w:left="680"/>
        <w:jc w:val="left"/>
      </w:pPr>
      <w:r>
        <w:rPr>
          <w:rFonts w:ascii="Times New Roman" w:cs="Times New Roman" w:eastAsia="Times New Roman" w:hAnsi="Times New Roman"/>
          <w:b w:val="false"/>
          <w:bCs w:val="false"/>
          <w:i w:val="false"/>
          <w:iCs w:val="false"/>
          <w:sz w:val="24"/>
          <w:szCs w:val="24"/>
        </w:rPr>
        <w:t xml:space="preserve">(Registration No. 1988/000570/06, JSE: ACT)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160" w:after="80"/>
        <w:jc w:val="center"/>
      </w:pPr>
      <w:r>
        <w:rPr>
          <w:rFonts w:ascii="Times New Roman" w:cs="Times New Roman" w:eastAsia="Times New Roman" w:hAnsi="Times New Roman"/>
          <w:b/>
          <w:bCs/>
          <w:i w:val="false"/>
          <w:iCs w:val="false"/>
          <w:sz w:val="24"/>
          <w:szCs w:val="24"/>
        </w:rPr>
        <w:t xml:space="preserve">PRACTICE NOTE</w:t>
      </w:r>
    </w:p>
    <w:p>
      <w:pPr>
        <w:spacing w:line="480" w:lineRule="auto" w:before="0" w:after="200"/>
        <w:jc w:val="center"/>
      </w:pPr>
      <w:r>
        <w:rPr>
          <w:rFonts w:ascii="Times New Roman" w:cs="Times New Roman" w:eastAsia="Times New Roman" w:hAnsi="Times New Roman"/>
          <w:b w:val="false"/>
          <w:bCs w:val="false"/>
          <w:i/>
          <w:iCs/>
          <w:sz w:val="24"/>
          <w:szCs w:val="24"/>
        </w:rPr>
        <w:t xml:space="preserve">Urgent Section 162 Delinquency Application – Rule 6(12)</w:t>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Nature of the application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This is an urgent application in terms of Rule 6(12) of the Uniform Rules of Court for:</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val="false"/>
          <w:bCs w:val="false"/>
          <w:i w:val="false"/>
          <w:iCs w:val="false"/>
          <w:sz w:val="24"/>
          <w:szCs w:val="24"/>
        </w:rPr>
        <w:t xml:space="preserve">An order declaring the First to Fifth Respondents </w:t>
      </w:r>
      <w:r>
        <w:rPr>
          <w:rFonts w:ascii="Times New Roman" w:cs="Times New Roman" w:eastAsia="Times New Roman" w:hAnsi="Times New Roman"/>
          <w:b/>
          <w:bCs/>
          <w:i w:val="false"/>
          <w:iCs w:val="false"/>
          <w:sz w:val="24"/>
          <w:szCs w:val="24"/>
        </w:rPr>
        <w:t xml:space="preserve">delinquent directors and officers</w:t>
      </w:r>
      <w:r>
        <w:rPr>
          <w:rFonts w:ascii="Times New Roman" w:cs="Times New Roman" w:eastAsia="Times New Roman" w:hAnsi="Times New Roman"/>
          <w:b w:val="false"/>
          <w:bCs w:val="false"/>
          <w:i w:val="false"/>
          <w:iCs w:val="false"/>
          <w:sz w:val="24"/>
          <w:szCs w:val="24"/>
        </w:rPr>
        <w:t xml:space="preserve"> in terms of Section 162(5)(c) and/or (d) of the Companies Act 71 of 2008, alternatively placing them under probation in terms of Section 162(7);</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val="false"/>
          <w:bCs w:val="false"/>
          <w:i w:val="false"/>
          <w:iCs w:val="false"/>
          <w:sz w:val="24"/>
          <w:szCs w:val="24"/>
        </w:rPr>
        <w:t xml:space="preserve">Damages of </w:t>
      </w:r>
      <w:r>
        <w:rPr>
          <w:rFonts w:ascii="Times New Roman" w:cs="Times New Roman" w:eastAsia="Times New Roman" w:hAnsi="Times New Roman"/>
          <w:b/>
          <w:bCs/>
          <w:i w:val="false"/>
          <w:iCs w:val="false"/>
          <w:sz w:val="24"/>
          <w:szCs w:val="24"/>
        </w:rPr>
        <w:t xml:space="preserve">R5,000,000.00</w:t>
      </w:r>
      <w:r>
        <w:rPr>
          <w:rFonts w:ascii="Times New Roman" w:cs="Times New Roman" w:eastAsia="Times New Roman" w:hAnsi="Times New Roman"/>
          <w:b w:val="false"/>
          <w:bCs w:val="false"/>
          <w:i w:val="false"/>
          <w:iCs w:val="false"/>
          <w:sz w:val="24"/>
          <w:szCs w:val="24"/>
        </w:rPr>
        <w:t xml:space="preserve"> jointly and severally, arising from the Individual Respondents’ breach of their statutory duties — incorporating the unlawful payroll deduction, B-BBEE fronting, UIF fraud, automatically unfair constructive dismissal (Section 187(1)(h) LRA), disability discrimination (Section 6 EEA), occupational detriment under the Protected Disclosures Act, and professional destruction;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val="false"/>
          <w:bCs w:val="false"/>
          <w:i w:val="false"/>
          <w:iCs w:val="false"/>
          <w:sz w:val="24"/>
          <w:szCs w:val="24"/>
        </w:rPr>
        <w:t xml:space="preserve">Costs on the </w:t>
      </w:r>
      <w:r>
        <w:rPr>
          <w:rFonts w:ascii="Times New Roman" w:cs="Times New Roman" w:eastAsia="Times New Roman" w:hAnsi="Times New Roman"/>
          <w:b/>
          <w:bCs/>
          <w:i w:val="false"/>
          <w:iCs w:val="false"/>
          <w:sz w:val="24"/>
          <w:szCs w:val="24"/>
        </w:rPr>
        <w:t xml:space="preserve">attorney-and-client scale</w:t>
      </w:r>
      <w:r>
        <w:rPr>
          <w:rFonts w:ascii="Times New Roman" w:cs="Times New Roman" w:eastAsia="Times New Roman" w:hAnsi="Times New Roman"/>
          <w:b w:val="false"/>
          <w:bCs w:val="false"/>
          <w:i w:val="false"/>
          <w:iCs w:val="false"/>
          <w:sz w:val="24"/>
          <w:szCs w:val="24"/>
        </w:rPr>
        <w:t xml:space="preserv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Basis for urgency</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faces confirmed eviction at the end of March 2026, has no income, no running water since January 2026, and his SANC registration has lapsed — rendering him unable to practise as a Registered Nurse. He carries a formal clinical diagnosis of severe depression and PTSD confirmed by Dr Jacques Malan (FCPsych(SA)). The urgency is </w:t>
      </w:r>
      <w:r>
        <w:rPr>
          <w:rFonts w:ascii="Times New Roman" w:cs="Times New Roman" w:eastAsia="Times New Roman" w:hAnsi="Times New Roman"/>
          <w:b/>
          <w:bCs/>
          <w:i w:val="false"/>
          <w:iCs w:val="false"/>
          <w:sz w:val="24"/>
          <w:szCs w:val="24"/>
        </w:rPr>
        <w:t xml:space="preserve">not self-created</w:t>
      </w:r>
      <w:r>
        <w:rPr>
          <w:rFonts w:ascii="Times New Roman" w:cs="Times New Roman" w:eastAsia="Times New Roman" w:hAnsi="Times New Roman"/>
          <w:b w:val="false"/>
          <w:bCs w:val="false"/>
          <w:i w:val="false"/>
          <w:iCs w:val="false"/>
          <w:sz w:val="24"/>
          <w:szCs w:val="24"/>
        </w:rPr>
        <w:t xml:space="preserve"> — it flows from nine formal escalations to the Respondents over nine months, including a Priority 1 Material Risk Report delivered to the Board on 9 December 2025 with 38 attachments, and formal engagement with 11 regulatory and statutory institutions, all of which failed to provide redress. Substantial redress is not possible in the ordinary course.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Status of the matter</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application is </w:t>
      </w:r>
      <w:r>
        <w:rPr>
          <w:rFonts w:ascii="Times New Roman" w:cs="Times New Roman" w:eastAsia="Times New Roman" w:hAnsi="Times New Roman"/>
          <w:b/>
          <w:bCs/>
          <w:i w:val="false"/>
          <w:iCs w:val="false"/>
          <w:sz w:val="24"/>
          <w:szCs w:val="24"/>
        </w:rPr>
        <w:t xml:space="preserve">unopposed</w:t>
      </w:r>
      <w:r>
        <w:rPr>
          <w:rFonts w:ascii="Times New Roman" w:cs="Times New Roman" w:eastAsia="Times New Roman" w:hAnsi="Times New Roman"/>
          <w:b w:val="false"/>
          <w:bCs w:val="false"/>
          <w:i w:val="false"/>
          <w:iCs w:val="false"/>
          <w:sz w:val="24"/>
          <w:szCs w:val="24"/>
        </w:rPr>
        <w:t xml:space="preserve">. No notice of intention to oppose has been filed. The Respondents have been notified of the application by email at their personal and corporate email addresses.</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Issues for determination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following issues arise for determination by this Honourable Court:</w:t>
      </w:r>
    </w:p>
    <w:p>
      <w:pPr>
        <w:spacing w:line="240" w:before="0" w:after="0"/>
      </w:pPr>
      <w:r>
        <w:rPr>
          <w:rFonts w:ascii="Times New Roman" w:cs="Times New Roman" w:eastAsia="Times New Roman" w:hAnsi="Times New Roman"/>
          <w:b w:val="false"/>
          <w:bCs w:val="false"/>
          <w:i w:val="false"/>
          <w:iCs w:val="false"/>
          <w:sz w:val="24"/>
          <w:szCs w:val="24"/>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52"/>
        <w:gridCol w:w="4933"/>
        <w:gridCol w:w="2836"/>
      </w:tblGrid>
      <w:tr>
        <w:tc>
          <w:tcPr>
            <w:tcW w:type="dxa" w:w="45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color w:val="FFFFFF"/>
                <w:sz w:val="24"/>
                <w:szCs w:val="24"/>
              </w:rPr>
              <w:t xml:space="preserve">#</w:t>
            </w:r>
          </w:p>
        </w:tc>
        <w:tc>
          <w:tcPr>
            <w:tcW w:type="dxa" w:w="4933"/>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color w:val="FFFFFF"/>
                <w:sz w:val="24"/>
                <w:szCs w:val="24"/>
              </w:rPr>
              <w:t xml:space="preserve">Issue</w:t>
            </w:r>
          </w:p>
        </w:tc>
        <w:tc>
          <w:tcPr>
            <w:tcW w:type="dxa" w:w="2836"/>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color w:val="FFFFFF"/>
                <w:sz w:val="24"/>
                <w:szCs w:val="24"/>
              </w:rPr>
              <w:t xml:space="preserve">FA Reference</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1</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Urgency — Rule 6(12)(b)</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16</w:t>
            </w:r>
          </w:p>
        </w:tc>
      </w:tr>
      <w:tr>
        <w:tc>
          <w:tcPr>
            <w:tcW w:type="dxa" w:w="452"/>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2</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Standing — s162(2)(c) shareholder</w:t>
            </w:r>
          </w:p>
        </w:tc>
        <w:tc>
          <w:tcPr>
            <w:tcW w:type="dxa" w:w="2836"/>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paras 1.2–1.4</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3</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Director delinquency — s162(5)(c) and (d)</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14</w:t>
            </w:r>
          </w:p>
        </w:tc>
      </w:tr>
      <w:tr>
        <w:tc>
          <w:tcPr>
            <w:tcW w:type="dxa" w:w="452"/>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4</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PDA chain — protected disclosure, occupational detriment, constructive dismissal, s77(3) liability</w:t>
            </w:r>
          </w:p>
        </w:tc>
        <w:tc>
          <w:tcPr>
            <w:tcW w:type="dxa" w:w="2836"/>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Sections 9–11</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5</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EEA bridge — disability discrimination, reasonable accommodation failure, s60 joint liability</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6</w:t>
            </w:r>
          </w:p>
        </w:tc>
      </w:tr>
      <w:tr>
        <w:tc>
          <w:tcPr>
            <w:tcW w:type="dxa" w:w="452"/>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6</w:t>
            </w:r>
          </w:p>
        </w:tc>
        <w:tc>
          <w:tcPr>
            <w:tcW w:type="dxa" w:w="4933"/>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Patient safety disclosure — Gexus/DMS integration failure, unremediated systemic risk to GEMS beneficiaries</w:t>
            </w:r>
          </w:p>
        </w:tc>
        <w:tc>
          <w:tcPr>
            <w:tcW w:type="dxa" w:w="2836"/>
            <w:tcBorders>
              <w:top w:val="single" w:color="595959" w:sz="4"/>
              <w:left w:val="single" w:color="595959" w:sz="4"/>
              <w:bottom w:val="single" w:color="595959" w:sz="4"/>
              <w:right w:val="single" w:color="595959" w:sz="4"/>
            </w:tcBorders>
            <w:shd w:fill="F5F5F5" w:val="clear"/>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12</w:t>
            </w:r>
          </w:p>
        </w:tc>
      </w:tr>
      <w:tr>
        <w:tc>
          <w:tcPr>
            <w:tcW w:type="dxa" w:w="452"/>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center"/>
            </w:pPr>
            <w:r>
              <w:rPr>
                <w:rFonts w:ascii="Times New Roman" w:cs="Times New Roman" w:eastAsia="Times New Roman" w:hAnsi="Times New Roman"/>
                <w:b w:val="false"/>
                <w:bCs w:val="false"/>
                <w:i w:val="false"/>
                <w:iCs w:val="false"/>
                <w:sz w:val="24"/>
                <w:szCs w:val="24"/>
              </w:rPr>
              <w:t xml:space="preserve">7</w:t>
            </w:r>
          </w:p>
        </w:tc>
        <w:tc>
          <w:tcPr>
            <w:tcW w:type="dxa" w:w="4933"/>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Quantum of damages — R5,000,000 or such amount as Court determines</w:t>
            </w:r>
          </w:p>
        </w:tc>
        <w:tc>
          <w:tcPr>
            <w:tcW w:type="dxa" w:w="2836"/>
            <w:tcBorders>
              <w:top w:val="single" w:color="595959" w:sz="4"/>
              <w:left w:val="single" w:color="595959" w:sz="4"/>
              <w:bottom w:val="single" w:color="595959" w:sz="4"/>
              <w:right w:val="single" w:color="595959" w:sz="4"/>
            </w:tcBorders>
            <w:tcMar>
              <w:top w:type="dxa" w:w="80"/>
              <w:left w:type="dxa" w:w="120"/>
              <w:bottom w:type="dxa" w:w="80"/>
              <w:right w:type="dxa" w:w="120"/>
            </w:tcMar>
            <w:vAlign w:val="center"/>
          </w:tcPr>
          <w:p>
            <w:pPr>
              <w:spacing w:line="240" w:lineRule="auto" w:before="60" w:after="60"/>
              <w:jc w:val="left"/>
            </w:pPr>
            <w:r>
              <w:rPr>
                <w:rFonts w:ascii="Times New Roman" w:cs="Times New Roman" w:eastAsia="Times New Roman" w:hAnsi="Times New Roman"/>
                <w:b w:val="false"/>
                <w:bCs w:val="false"/>
                <w:i w:val="false"/>
                <w:iCs w:val="false"/>
                <w:sz w:val="24"/>
                <w:szCs w:val="24"/>
              </w:rPr>
              <w:t xml:space="preserve">FA Section 19</w:t>
            </w:r>
          </w:p>
        </w:tc>
      </w:tr>
    </w:tbl>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Key annexures</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(a)	</w:t>
      </w:r>
      <w:r>
        <w:rPr>
          <w:rFonts w:ascii="Times New Roman" w:cs="Times New Roman" w:eastAsia="Times New Roman" w:hAnsi="Times New Roman"/>
          <w:b/>
          <w:bCs/>
          <w:i w:val="false"/>
          <w:iCs w:val="false"/>
          <w:sz w:val="24"/>
          <w:szCs w:val="24"/>
        </w:rPr>
        <w:t xml:space="preserve">"Annexure A" </w:t>
      </w:r>
      <w:r>
        <w:rPr>
          <w:rFonts w:ascii="Times New Roman" w:cs="Times New Roman" w:eastAsia="Times New Roman" w:hAnsi="Times New Roman"/>
          <w:b w:val="false"/>
          <w:bCs w:val="false"/>
          <w:i w:val="false"/>
          <w:iCs w:val="false"/>
          <w:sz w:val="24"/>
          <w:szCs w:val="24"/>
        </w:rPr>
        <w:t xml:space="preserve">— Share certificate confirming standing as shareholder under s162(2)(c);</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(b)	</w:t>
      </w:r>
      <w:r>
        <w:rPr>
          <w:rFonts w:ascii="Times New Roman" w:cs="Times New Roman" w:eastAsia="Times New Roman" w:hAnsi="Times New Roman"/>
          <w:b/>
          <w:bCs/>
          <w:i w:val="false"/>
          <w:iCs w:val="false"/>
          <w:sz w:val="24"/>
          <w:szCs w:val="24"/>
        </w:rPr>
        <w:t xml:space="preserve">"Annexure F" </w:t>
      </w:r>
      <w:r>
        <w:rPr>
          <w:rFonts w:ascii="Times New Roman" w:cs="Times New Roman" w:eastAsia="Times New Roman" w:hAnsi="Times New Roman"/>
          <w:b w:val="false"/>
          <w:bCs w:val="false"/>
          <w:i w:val="false"/>
          <w:iCs w:val="false"/>
          <w:sz w:val="24"/>
          <w:szCs w:val="24"/>
        </w:rPr>
        <w:t xml:space="preserve">— Cheryl-Dawn Modern written admission of B-BBEE naming convention — primary fronting evidence;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(c)	</w:t>
      </w:r>
      <w:r>
        <w:rPr>
          <w:rFonts w:ascii="Times New Roman" w:cs="Times New Roman" w:eastAsia="Times New Roman" w:hAnsi="Times New Roman"/>
          <w:b/>
          <w:bCs/>
          <w:i w:val="false"/>
          <w:iCs w:val="false"/>
          <w:sz w:val="24"/>
          <w:szCs w:val="24"/>
        </w:rPr>
        <w:t xml:space="preserve">"Annexure H" </w:t>
      </w:r>
      <w:r>
        <w:rPr>
          <w:rFonts w:ascii="Times New Roman" w:cs="Times New Roman" w:eastAsia="Times New Roman" w:hAnsi="Times New Roman"/>
          <w:b w:val="false"/>
          <w:bCs w:val="false"/>
          <w:i w:val="false"/>
          <w:iCs w:val="false"/>
          <w:sz w:val="24"/>
          <w:szCs w:val="24"/>
        </w:rPr>
        <w:t xml:space="preserve">— July 2025 payslip confirming the 40.47% unlawful deduction;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(d)	</w:t>
      </w:r>
      <w:r>
        <w:rPr>
          <w:rFonts w:ascii="Times New Roman" w:cs="Times New Roman" w:eastAsia="Times New Roman" w:hAnsi="Times New Roman"/>
          <w:b/>
          <w:bCs/>
          <w:i w:val="false"/>
          <w:iCs w:val="false"/>
          <w:sz w:val="24"/>
          <w:szCs w:val="24"/>
        </w:rPr>
        <w:t xml:space="preserve">"Annexure I" </w:t>
      </w:r>
      <w:r>
        <w:rPr>
          <w:rFonts w:ascii="Times New Roman" w:cs="Times New Roman" w:eastAsia="Times New Roman" w:hAnsi="Times New Roman"/>
          <w:b w:val="false"/>
          <w:bCs w:val="false"/>
          <w:i w:val="false"/>
          <w:iCs w:val="false"/>
          <w:sz w:val="24"/>
          <w:szCs w:val="24"/>
        </w:rPr>
        <w:t xml:space="preserve">— Dr Jacques Malan FCPsych(SA) psychiatric letter — severe depression and PTSD;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(e)	</w:t>
      </w:r>
      <w:r>
        <w:rPr>
          <w:rFonts w:ascii="Times New Roman" w:cs="Times New Roman" w:eastAsia="Times New Roman" w:hAnsi="Times New Roman"/>
          <w:b/>
          <w:bCs/>
          <w:i w:val="false"/>
          <w:iCs w:val="false"/>
          <w:sz w:val="24"/>
          <w:szCs w:val="24"/>
        </w:rPr>
        <w:t xml:space="preserve">"Annexure K" </w:t>
      </w:r>
      <w:r>
        <w:rPr>
          <w:rFonts w:ascii="Times New Roman" w:cs="Times New Roman" w:eastAsia="Times New Roman" w:hAnsi="Times New Roman"/>
          <w:b w:val="false"/>
          <w:bCs w:val="false"/>
          <w:i w:val="false"/>
          <w:iCs w:val="false"/>
          <w:sz w:val="24"/>
          <w:szCs w:val="24"/>
        </w:rPr>
        <w:t xml:space="preserve">— uFiling screenshot — fabricated July 2025 declaration and June 2025 non-declaration;</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(f)	</w:t>
      </w:r>
      <w:r>
        <w:rPr>
          <w:rFonts w:ascii="Times New Roman" w:cs="Times New Roman" w:eastAsia="Times New Roman" w:hAnsi="Times New Roman"/>
          <w:b/>
          <w:bCs/>
          <w:i w:val="false"/>
          <w:iCs w:val="false"/>
          <w:sz w:val="24"/>
          <w:szCs w:val="24"/>
        </w:rPr>
        <w:t xml:space="preserve">"Annexure N" </w:t>
      </w:r>
      <w:r>
        <w:rPr>
          <w:rFonts w:ascii="Times New Roman" w:cs="Times New Roman" w:eastAsia="Times New Roman" w:hAnsi="Times New Roman"/>
          <w:b w:val="false"/>
          <w:bCs w:val="false"/>
          <w:i w:val="false"/>
          <w:iCs w:val="false"/>
          <w:sz w:val="24"/>
          <w:szCs w:val="24"/>
        </w:rPr>
        <w:t xml:space="preserve">— GRC1: Priority 1 Material Risk Report (38 attachments) — places all Individual Respondents on express notice;</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(g)	</w:t>
      </w:r>
      <w:r>
        <w:rPr>
          <w:rFonts w:ascii="Times New Roman" w:cs="Times New Roman" w:eastAsia="Times New Roman" w:hAnsi="Times New Roman"/>
          <w:b/>
          <w:bCs/>
          <w:i w:val="false"/>
          <w:iCs w:val="false"/>
          <w:sz w:val="24"/>
          <w:szCs w:val="24"/>
        </w:rPr>
        <w:t xml:space="preserve">"Annexure O" </w:t>
      </w:r>
      <w:r>
        <w:rPr>
          <w:rFonts w:ascii="Times New Roman" w:cs="Times New Roman" w:eastAsia="Times New Roman" w:hAnsi="Times New Roman"/>
          <w:b w:val="false"/>
          <w:bCs w:val="false"/>
          <w:i w:val="false"/>
          <w:iCs w:val="false"/>
          <w:sz w:val="24"/>
          <w:szCs w:val="24"/>
        </w:rPr>
        <w:t xml:space="preserve">— CCMA opposing affidavit filed 24 hours after P1 Report — primary occupational detriment evidence; and</w:t>
      </w:r>
    </w:p>
    <w:p>
      <w:pPr>
        <w:tabs>
          <w:tab w:val="left" w:pos="1247"/>
        </w:tabs>
        <w:spacing w:line="480" w:lineRule="auto" w:before="0" w:after="80"/>
        <w:ind w:left="1247" w:hanging="1247"/>
        <w:jc w:val="both"/>
      </w:pPr>
      <w:r>
        <w:rPr>
          <w:rFonts w:ascii="Times New Roman" w:cs="Times New Roman" w:eastAsia="Times New Roman" w:hAnsi="Times New Roman"/>
          <w:b w:val="false"/>
          <w:bCs w:val="false"/>
          <w:i w:val="false"/>
          <w:iCs w:val="false"/>
          <w:sz w:val="24"/>
          <w:szCs w:val="24"/>
        </w:rPr>
        <w:t xml:space="preserve">(h)	</w:t>
      </w:r>
      <w:r>
        <w:rPr>
          <w:rFonts w:ascii="Times New Roman" w:cs="Times New Roman" w:eastAsia="Times New Roman" w:hAnsi="Times New Roman"/>
          <w:b/>
          <w:bCs/>
          <w:i w:val="false"/>
          <w:iCs w:val="false"/>
          <w:sz w:val="24"/>
          <w:szCs w:val="24"/>
        </w:rPr>
        <w:t xml:space="preserve">"Annexure Q" </w:t>
      </w:r>
      <w:r>
        <w:rPr>
          <w:rFonts w:ascii="Times New Roman" w:cs="Times New Roman" w:eastAsia="Times New Roman" w:hAnsi="Times New Roman"/>
          <w:b w:val="false"/>
          <w:bCs w:val="false"/>
          <w:i w:val="false"/>
          <w:iCs w:val="false"/>
          <w:sz w:val="24"/>
          <w:szCs w:val="24"/>
        </w:rPr>
        <w:t xml:space="preserve">— Formal Notice of Constructive Dismissal invoking s186(1)(e) and s187(1)(h) LRA — delivered to directors personally.</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EEA bridge — note to the Court</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is a person with a disability within the meaning of the Employment Equity Act 55 of 1998 — severe depression and PTSD formally diagnosed by Dr Jacques Malan FCPsych(SA), disclosed to the employer on 16 May 2025. The CCMA opposing affidavit of 10 December 2025, in which an unqualified company official dismissed the FCPsych(SA)’s diagnosis as “no relevance” under oath, constitutes disability discrimination under Section 6(1) of the EEA. The Board received this affidavit on 11 December 2025 and took no steps to repudiate it — thereby condoning the discrimination under Section 60 of the EEA. Full argument is set out in Section 6 of the Founding Affidavit.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Patient safety disclosure — note to the Court</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The Applicant made a formal patient safety disclosure in October 2025 regarding a systemic integration failure between Medscheme Holdings’ Gexus and DMS clinical data platforms, which generated automated false non-adherence letters to fully compliant chronic GEMS beneficiaries. A formal protected disclosure was filed with the Council for Medical Schemes on 23 December 2025. The CMS acknowledged receipt but declined jurisdiction. The Gexus/DMS integration gap has not been remediated to the Applicant’s knowledge as of the date of this application. The patient safety disclosure and the retaliation against it are pleaded as grounds for delinquency in the Founding Affidavit. A parallel B-BBEE Commission investigation is active under Case No. 5/02/2026.</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Compliance</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application bundle is fully indexed and paginated.</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All annexures (A to V) are attached and properly referenced in the Founding Affidavit.</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Respondents have been served by email at their personal and corporate email addresses.</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The Applicant is self-represented.</w:t>
      </w:r>
    </w:p>
    <w:p>
      <w:pPr>
        <w:tabs>
          <w:tab w:val="left" w:pos="680"/>
        </w:tabs>
        <w:spacing w:line="480" w:lineRule="auto" w:before="0" w:after="80"/>
        <w:ind w:left="1247" w:hanging="680"/>
        <w:jc w:val="both"/>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This Practice Note is filed simultaneously with the Notice of Motion and Founding Affidavit.</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360" w:after="120"/>
        <w:jc w:val="left"/>
      </w:pPr>
      <w:r>
        <w:rPr>
          <w:rFonts w:ascii="Times New Roman" w:cs="Times New Roman" w:eastAsia="Times New Roman" w:hAnsi="Times New Roman"/>
          <w:b/>
          <w:bCs/>
          <w:i w:val="false"/>
          <w:iCs w:val="false"/>
          <w:sz w:val="24"/>
          <w:szCs w:val="24"/>
          <w:u w:val="single"/>
        </w:rPr>
        <w:t xml:space="preserve">Estimated duration</w:t>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30 minutes (unopposed motion).</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pBdr>
          <w:bottom w:val="single" w:color="000000" w:sz="6"/>
        </w:pBdr>
        <w:spacing w:before="120" w:after="12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480" w:lineRule="auto" w:before="0" w:after="80"/>
        <w:jc w:val="both"/>
      </w:pPr>
      <w:r>
        <w:rPr>
          <w:rFonts w:ascii="Times New Roman" w:cs="Times New Roman" w:eastAsia="Times New Roman" w:hAnsi="Times New Roman"/>
          <w:b w:val="false"/>
          <w:bCs w:val="false"/>
          <w:i w:val="false"/>
          <w:iCs w:val="false"/>
          <w:sz w:val="24"/>
          <w:szCs w:val="24"/>
        </w:rPr>
        <w:t xml:space="preserve">DATED at </w:t>
      </w:r>
      <w:r>
        <w:rPr>
          <w:rFonts w:ascii="Times New Roman" w:cs="Times New Roman" w:eastAsia="Times New Roman" w:hAnsi="Times New Roman"/>
          <w:b/>
          <w:bCs/>
          <w:i w:val="false"/>
          <w:iCs w:val="false"/>
          <w:sz w:val="24"/>
          <w:szCs w:val="24"/>
        </w:rPr>
        <w:t xml:space="preserve">CAPE TOWN</w:t>
      </w:r>
      <w:r>
        <w:rPr>
          <w:rFonts w:ascii="Times New Roman" w:cs="Times New Roman" w:eastAsia="Times New Roman" w:hAnsi="Times New Roman"/>
          <w:b w:val="false"/>
          <w:bCs w:val="false"/>
          <w:i w:val="false"/>
          <w:iCs w:val="false"/>
          <w:sz w:val="24"/>
          <w:szCs w:val="24"/>
        </w:rPr>
        <w:t xml:space="preserve"> on this </w:t>
      </w:r>
      <w:r>
        <w:rPr>
          <w:rFonts w:ascii="Times New Roman" w:cs="Times New Roman" w:eastAsia="Times New Roman" w:hAnsi="Times New Roman"/>
          <w:b/>
          <w:bCs/>
          <w:i w:val="false"/>
          <w:iCs w:val="false"/>
          <w:sz w:val="24"/>
          <w:szCs w:val="24"/>
        </w:rPr>
        <w:t xml:space="preserve">24th</w:t>
      </w:r>
      <w:r>
        <w:rPr>
          <w:rFonts w:ascii="Times New Roman" w:cs="Times New Roman" w:eastAsia="Times New Roman" w:hAnsi="Times New Roman"/>
          <w:b w:val="false"/>
          <w:bCs w:val="false"/>
          <w:i w:val="false"/>
          <w:iCs w:val="false"/>
          <w:sz w:val="24"/>
          <w:szCs w:val="24"/>
        </w:rPr>
        <w:t xml:space="preserve"> day of </w:t>
      </w:r>
      <w:r>
        <w:rPr>
          <w:rFonts w:ascii="Times New Roman" w:cs="Times New Roman" w:eastAsia="Times New Roman" w:hAnsi="Times New Roman"/>
          <w:b/>
          <w:bCs/>
          <w:i w:val="false"/>
          <w:iCs w:val="false"/>
          <w:sz w:val="24"/>
          <w:szCs w:val="24"/>
        </w:rPr>
        <w:t xml:space="preserve">MARCH 2026</w:t>
      </w:r>
      <w:r>
        <w:rPr>
          <w:rFonts w:ascii="Times New Roman" w:cs="Times New Roman" w:eastAsia="Times New Roman" w:hAnsi="Times New Roman"/>
          <w:b w:val="false"/>
          <w:bCs w:val="false"/>
          <w:i w:val="false"/>
          <w:iCs w:val="false"/>
          <w:sz w:val="24"/>
          <w:szCs w:val="24"/>
        </w:rPr>
        <w:t xml:space="preserve">.</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___________________________________</w:t>
      </w:r>
    </w:p>
    <w:p>
      <w:pPr>
        <w:spacing w:line="240" w:lineRule="auto" w:before="0" w:after="40"/>
        <w:jc w:val="left"/>
      </w:pPr>
      <w:r>
        <w:rPr>
          <w:rFonts w:ascii="Times New Roman" w:cs="Times New Roman" w:eastAsia="Times New Roman" w:hAnsi="Times New Roman"/>
          <w:b/>
          <w:bCs/>
          <w:i w:val="false"/>
          <w:iCs w:val="false"/>
          <w:sz w:val="24"/>
          <w:szCs w:val="24"/>
        </w:rPr>
        <w:t xml:space="preserve">WILBUR WILLIAM MATTHEE</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APPLICANT – SELF-REPRESENTED</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15 Bellevue Street, Voorbrug, Cape Town, 7100</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Email: info@ethichawks.co.za</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Tel: 069 635 1435</w:t>
      </w:r>
    </w:p>
    <w:p>
      <w:pPr>
        <w:spacing w:line="240" w:before="0" w:after="0"/>
      </w:pPr>
      <w:r>
        <w:rPr>
          <w:rFonts w:ascii="Times New Roman" w:cs="Times New Roman" w:eastAsia="Times New Roman" w:hAnsi="Times New Roman"/>
          <w:b w:val="false"/>
          <w:bCs w:val="false"/>
          <w:i w:val="false"/>
          <w:iCs w:val="false"/>
          <w:sz w:val="24"/>
          <w:szCs w:val="24"/>
        </w:rPr>
        <w:t xml:space="preserve"/>
      </w:r>
    </w:p>
    <w:p>
      <w:pPr>
        <w:spacing w:line="240" w:lineRule="auto" w:before="0" w:after="40"/>
        <w:jc w:val="left"/>
      </w:pPr>
      <w:r>
        <w:rPr>
          <w:rFonts w:ascii="Times New Roman" w:cs="Times New Roman" w:eastAsia="Times New Roman" w:hAnsi="Times New Roman"/>
          <w:b/>
          <w:bCs/>
          <w:i w:val="false"/>
          <w:iCs w:val="false"/>
          <w:sz w:val="24"/>
          <w:szCs w:val="24"/>
        </w:rPr>
        <w:t xml:space="preserve">Case No: 2026-066952</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OCJ Reference: HCGS953346</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Hearing: 25 March 2026 at 10:00</w:t>
      </w:r>
    </w:p>
    <w:p>
      <w:pPr>
        <w:spacing w:line="240" w:lineRule="auto" w:before="0" w:after="40"/>
        <w:jc w:val="left"/>
      </w:pPr>
      <w:r>
        <w:rPr>
          <w:rFonts w:ascii="Times New Roman" w:cs="Times New Roman" w:eastAsia="Times New Roman" w:hAnsi="Times New Roman"/>
          <w:b w:val="false"/>
          <w:bCs w:val="false"/>
          <w:i w:val="false"/>
          <w:iCs w:val="false"/>
          <w:sz w:val="24"/>
          <w:szCs w:val="24"/>
        </w:rPr>
        <w:t xml:space="preserve">Court: Western Cape High Court, Keerom Street, Cape Town</w:t>
      </w:r>
    </w:p>
    <w:sectPr>
      <w:headerReference w:type="default" r:id="rId6"/>
      <w:footerReference w:type="default" r:id="rId7"/>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b w:val="false"/>
        <w:bCs w:val="false"/>
        <w:i/>
        <w:iCs/>
        <w:sz w:val="20"/>
        <w:szCs w:val="20"/>
      </w:rPr>
      <w:t xml:space="preserve">Case No: 2026-066952  |  Matthee v Fernandes &amp; Others  |  Practice Note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lineRule="auto"/>
      <w:jc w:val="right"/>
    </w:pPr>
    <w:r>
      <w:rPr>
        <w:rFonts w:ascii="Times New Roman" w:cs="Times New Roman" w:eastAsia="Times New Roman" w:hAnsi="Times New Roman"/>
        <w:b w:val="false"/>
        <w:bCs w:val="false"/>
        <w:i/>
        <w:iCs/>
        <w:color w:val="595959"/>
        <w:sz w:val="20"/>
        <w:szCs w:val="20"/>
      </w:rPr>
      <w:t xml:space="preserve">Case No: 2026-066952  |  Western Cape High Court  |  25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2026-03-23T10:10:21.414Z</dcterms:created>
  <dcterms:modified xsi:type="dcterms:W3CDTF">2026-03-23T10:10:21.415Z</dcterms:modified>
</cp:coreProperties>
</file>

<file path=docProps/custom.xml><?xml version="1.0" encoding="utf-8"?>
<Properties xmlns="http://schemas.openxmlformats.org/officeDocument/2006/custom-properties" xmlns:vt="http://schemas.openxmlformats.org/officeDocument/2006/docPropsVTypes"/>
</file>