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WRITTEN RESOLUTION OF THE BOARD OF DIRECTORS</w:t>
      </w:r>
    </w:p>
    <w:p>
      <w:pPr>
        <w:spacing w:before="0" w:after="60"/>
        <w:jc w:val="center"/>
      </w:pPr>
      <w:r>
        <w:rPr>
          <w:rFonts w:ascii="Arial" w:cs="Arial" w:eastAsia="Arial" w:hAnsi="Arial"/>
          <w:i/>
          <w:iCs/>
          <w:color w:val="555555"/>
          <w:sz w:val="22"/>
          <w:szCs w:val="22"/>
        </w:rPr>
        <w:t xml:space="preserve">EthicHawks (Pty) Ltd — In terms of section 74 of the Companies Act 71 of 2008</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Confidential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Company</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EthicHawks (Pty) Ltd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Registration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Registered Address</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[Registered address, Cape Town]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Date of Resolution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[Date], 2026</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Director</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Wilbur Matthee</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
      </w:r>
      <w:r>
        <w:rPr>
          <w:rFonts w:ascii="Arial" w:cs="Arial" w:eastAsia="Arial" w:hAnsi="Arial"/>
          <w:b/>
          <w:bCs/>
          <w:color w:val="006B6B"/>
          <w:sz w:val="21"/>
          <w:szCs w:val="21"/>
        </w:rPr>
        <w:t xml:space="preserve">BACKGROUND</w:t>
      </w:r>
    </w:p>
    <w:p>
      <w:pPr>
        <w:spacing w:before="60" w:after="80"/>
        <w:jc w:val="left"/>
      </w:pPr>
      <w:r>
        <w:rPr>
          <w:rFonts w:ascii="Arial" w:cs="Arial" w:eastAsia="Arial" w:hAnsi="Arial"/>
          <w:b w:val="false"/>
          <w:bCs w:val="false"/>
          <w:i w:val="false"/>
          <w:iCs w:val="false"/>
          <w:color w:val="1A1A1A"/>
          <w:sz w:val="20"/>
          <w:szCs w:val="20"/>
        </w:rPr>
        <w:t xml:space="preserve">The Company has received an offer from [Investor Full Name] ("Investor") to subscribe for shares representing 7.5% of the issued share capital of the Company for a subscription price of R1,500,000 (One Million Five Hundred Thousand Rand), reflecting a pre-money valuation of R20,000,000.</w:t>
      </w:r>
    </w:p>
    <w:p>
      <w:pPr>
        <w:spacing w:before="0" w:after="80"/>
        <w:jc w:val="left"/>
      </w:pPr>
      <w:r>
        <w:rPr>
          <w:rFonts w:ascii="Arial" w:cs="Arial" w:eastAsia="Arial" w:hAnsi="Arial"/>
          <w:b w:val="false"/>
          <w:bCs w:val="false"/>
          <w:i w:val="false"/>
          <w:iCs w:val="false"/>
          <w:color w:val="1A1A1A"/>
          <w:sz w:val="20"/>
          <w:szCs w:val="20"/>
        </w:rPr>
        <w:t xml:space="preserve">The Director, being the sole director of the Company, having considered the matter and being satisfied that the transaction is in the best interests of the Company, hereby passes the following written resolution in accordance with section 74 of the Companies Act:</w:t>
      </w:r>
    </w:p>
    <w:p>
      <w:pPr>
        <w:pBdr>
          <w:bottom w:val="single" w:color="006B6B" w:sz="3" w:space="2"/>
        </w:pBdr>
        <w:spacing w:before="280" w:after="80"/>
      </w:pPr>
      <w:r>
        <w:rPr>
          <w:rFonts w:ascii="Arial" w:cs="Arial" w:eastAsia="Arial" w:hAnsi="Arial"/>
          <w:b/>
          <w:bCs/>
          <w:color w:val="006B6B"/>
          <w:sz w:val="21"/>
          <w:szCs w:val="21"/>
        </w:rPr>
        <w:t xml:space="preserve"/>
      </w:r>
      <w:r>
        <w:rPr>
          <w:rFonts w:ascii="Arial" w:cs="Arial" w:eastAsia="Arial" w:hAnsi="Arial"/>
          <w:b/>
          <w:bCs/>
          <w:color w:val="006B6B"/>
          <w:sz w:val="21"/>
          <w:szCs w:val="21"/>
        </w:rPr>
        <w:t xml:space="preserve">RESOLUTIONS</w:t>
      </w:r>
    </w:p>
    <w:p>
      <w:pPr>
        <w:spacing w:before="80" w:after="80"/>
        <w:jc w:val="left"/>
      </w:pPr>
      <w:r>
        <w:rPr>
          <w:rFonts w:ascii="Arial" w:cs="Arial" w:eastAsia="Arial" w:hAnsi="Arial"/>
          <w:b/>
          <w:bCs/>
          <w:i w:val="false"/>
          <w:iCs w:val="false"/>
          <w:color w:val="006B6B"/>
          <w:sz w:val="20"/>
          <w:szCs w:val="20"/>
        </w:rPr>
        <w:t xml:space="preserve">IT IS HEREBY RESOLVED THAT:</w:t>
      </w:r>
    </w:p>
    <w:p>
      <w:pPr>
        <w:spacing w:before="60" w:after="60"/>
        <w:jc w:val="left"/>
      </w:pPr>
      <w:r>
        <w:rPr>
          <w:rFonts w:ascii="Arial" w:cs="Arial" w:eastAsia="Arial" w:hAnsi="Arial"/>
          <w:b w:val="false"/>
          <w:bCs w:val="false"/>
          <w:i w:val="false"/>
          <w:iCs w:val="false"/>
          <w:color w:val="1A1A1A"/>
          <w:sz w:val="20"/>
          <w:szCs w:val="20"/>
        </w:rPr>
        <w:t xml:space="preserve">1.  The Company is hereby authorised to enter into the Founding Investor Agreement, Share Subscription Agreement, and Shareholders Agreement with [Investor Full Name] on the terms presented to the Director.</w:t>
      </w:r>
    </w:p>
    <w:p>
      <w:pPr>
        <w:spacing w:before="60" w:after="60"/>
        <w:jc w:val="left"/>
      </w:pPr>
      <w:r>
        <w:rPr>
          <w:rFonts w:ascii="Arial" w:cs="Arial" w:eastAsia="Arial" w:hAnsi="Arial"/>
          <w:b w:val="false"/>
          <w:bCs w:val="false"/>
          <w:i w:val="false"/>
          <w:iCs w:val="false"/>
          <w:color w:val="1A1A1A"/>
          <w:sz w:val="20"/>
          <w:szCs w:val="20"/>
        </w:rPr>
        <w:t xml:space="preserve">2.  The Company shall issue ordinary shares to [Investor Full Name] representing 7.5% of the total issued share capital on a fully diluted post-money basis, at a subscription price of R1,500,000.</w:t>
      </w:r>
    </w:p>
    <w:p>
      <w:pPr>
        <w:spacing w:before="60" w:after="60"/>
        <w:jc w:val="left"/>
      </w:pPr>
      <w:r>
        <w:rPr>
          <w:rFonts w:ascii="Arial" w:cs="Arial" w:eastAsia="Arial" w:hAnsi="Arial"/>
          <w:b w:val="false"/>
          <w:bCs w:val="false"/>
          <w:i w:val="false"/>
          <w:iCs w:val="false"/>
          <w:color w:val="1A1A1A"/>
          <w:sz w:val="20"/>
          <w:szCs w:val="20"/>
        </w:rPr>
        <w:t xml:space="preserve">3.  The share register of the Company shall be updated to reflect [Investor Full Name] as a registered shareholder.</w:t>
      </w:r>
    </w:p>
    <w:p>
      <w:pPr>
        <w:spacing w:before="60" w:after="60"/>
        <w:jc w:val="left"/>
      </w:pPr>
      <w:r>
        <w:rPr>
          <w:rFonts w:ascii="Arial" w:cs="Arial" w:eastAsia="Arial" w:hAnsi="Arial"/>
          <w:b w:val="false"/>
          <w:bCs w:val="false"/>
          <w:i w:val="false"/>
          <w:iCs w:val="false"/>
          <w:color w:val="1A1A1A"/>
          <w:sz w:val="20"/>
          <w:szCs w:val="20"/>
        </w:rPr>
        <w:t xml:space="preserve">4.  A share certificate shall be prepared and issued to [Investor Full Name] within 20 business days of receipt of the subscription price.</w:t>
      </w:r>
    </w:p>
    <w:p>
      <w:pPr>
        <w:spacing w:before="60" w:after="60"/>
        <w:jc w:val="left"/>
      </w:pPr>
      <w:r>
        <w:rPr>
          <w:rFonts w:ascii="Arial" w:cs="Arial" w:eastAsia="Arial" w:hAnsi="Arial"/>
          <w:b w:val="false"/>
          <w:bCs w:val="false"/>
          <w:i w:val="false"/>
          <w:iCs w:val="false"/>
          <w:color w:val="1A1A1A"/>
          <w:sz w:val="20"/>
          <w:szCs w:val="20"/>
        </w:rPr>
        <w:t xml:space="preserve">5.  The Company shall file all required notices and documents with the Companies and Intellectual Property Commission (CIPC) within the prescribed timeframes.</w:t>
      </w:r>
    </w:p>
    <w:p>
      <w:pPr>
        <w:spacing w:before="60" w:after="60"/>
        <w:jc w:val="left"/>
      </w:pPr>
      <w:r>
        <w:rPr>
          <w:rFonts w:ascii="Arial" w:cs="Arial" w:eastAsia="Arial" w:hAnsi="Arial"/>
          <w:b w:val="false"/>
          <w:bCs w:val="false"/>
          <w:i w:val="false"/>
          <w:iCs w:val="false"/>
          <w:color w:val="1A1A1A"/>
          <w:sz w:val="20"/>
          <w:szCs w:val="20"/>
        </w:rPr>
        <w:t xml:space="preserve">6.  The Company shall open or designate a bank account for receipt of the subscription price and shall confirm banking details to the Investor in writing prior to payment.</w:t>
      </w:r>
    </w:p>
    <w:p>
      <w:pPr>
        <w:spacing w:before="60" w:after="60"/>
        <w:jc w:val="left"/>
      </w:pPr>
      <w:r>
        <w:rPr>
          <w:rFonts w:ascii="Arial" w:cs="Arial" w:eastAsia="Arial" w:hAnsi="Arial"/>
          <w:b w:val="false"/>
          <w:bCs w:val="false"/>
          <w:i w:val="false"/>
          <w:iCs w:val="false"/>
          <w:color w:val="1A1A1A"/>
          <w:sz w:val="20"/>
          <w:szCs w:val="20"/>
        </w:rPr>
        <w:t xml:space="preserve">7.  Wilbur Matthee, in his capacity as Founder and Director, is authorised to sign all agreements, share certificates, CIPC documents, and any other instruments necessary to give effect to these resolutions.</w:t>
      </w:r>
    </w:p>
    <w:p>
      <w:pPr>
        <w:spacing w:before="60" w:after="60"/>
        <w:jc w:val="left"/>
      </w:pPr>
      <w:r>
        <w:rPr>
          <w:rFonts w:ascii="Arial" w:cs="Arial" w:eastAsia="Arial" w:hAnsi="Arial"/>
          <w:b w:val="false"/>
          <w:bCs w:val="false"/>
          <w:i w:val="false"/>
          <w:iCs w:val="false"/>
          <w:color w:val="1A1A1A"/>
          <w:sz w:val="20"/>
          <w:szCs w:val="20"/>
        </w:rPr>
        <w:t xml:space="preserve">8.  The Company shall apply the subscription proceeds in accordance with the Use of Funds schedule set out in the Founding Investor Agreement.</w:t>
      </w:r>
    </w:p>
    <w:p>
      <w:pPr>
        <w:spacing w:before="60" w:after="60"/>
        <w:jc w:val="left"/>
      </w:pPr>
      <w:r>
        <w:rPr>
          <w:rFonts w:ascii="Arial" w:cs="Arial" w:eastAsia="Arial" w:hAnsi="Arial"/>
          <w:b w:val="false"/>
          <w:bCs w:val="false"/>
          <w:i w:val="false"/>
          <w:iCs w:val="false"/>
          <w:color w:val="1A1A1A"/>
          <w:sz w:val="20"/>
          <w:szCs w:val="20"/>
        </w:rPr>
        <w:t xml:space="preserve">9.  The Company shall establish an advisory board observer mechanism to give effect to the Investor's observer rights under the Shareholders Agreement.</w:t>
      </w:r>
    </w:p>
    <w:p>
      <w:pPr>
        <w:spacing w:before="60" w:after="60"/>
        <w:jc w:val="left"/>
      </w:pPr>
      <w:r>
        <w:rPr>
          <w:rFonts w:ascii="Arial" w:cs="Arial" w:eastAsia="Arial" w:hAnsi="Arial"/>
          <w:b w:val="false"/>
          <w:bCs w:val="false"/>
          <w:i w:val="false"/>
          <w:iCs w:val="false"/>
          <w:color w:val="1A1A1A"/>
          <w:sz w:val="20"/>
          <w:szCs w:val="20"/>
        </w:rPr>
        <w:t xml:space="preserve">10. These resolutions shall be filed in the Company's minute book and copies provided to the Investor.</w:t>
      </w:r>
    </w:p>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
      </w:r>
      <w:r>
        <w:rPr>
          <w:rFonts w:ascii="Arial" w:cs="Arial" w:eastAsia="Arial" w:hAnsi="Arial"/>
          <w:b/>
          <w:bCs/>
          <w:color w:val="006B6B"/>
          <w:sz w:val="21"/>
          <w:szCs w:val="21"/>
        </w:rPr>
        <w:t xml:space="preserve">CONFIRMATION</w:t>
      </w:r>
    </w:p>
    <w:p>
      <w:pPr>
        <w:spacing w:before="60" w:after="60"/>
        <w:jc w:val="left"/>
      </w:pPr>
      <w:r>
        <w:rPr>
          <w:rFonts w:ascii="Arial" w:cs="Arial" w:eastAsia="Arial" w:hAnsi="Arial"/>
          <w:b w:val="false"/>
          <w:bCs w:val="false"/>
          <w:i w:val="false"/>
          <w:iCs w:val="false"/>
          <w:color w:val="1A1A1A"/>
          <w:sz w:val="20"/>
          <w:szCs w:val="20"/>
        </w:rPr>
        <w:t xml:space="preserve">The Director confirms that:</w:t>
      </w:r>
    </w:p>
    <w:p>
      <w:pPr>
        <w:spacing w:before="40" w:after="40"/>
        <w:ind w:left="360"/>
        <w:jc w:val="left"/>
      </w:pPr>
      <w:r>
        <w:rPr>
          <w:rFonts w:ascii="Arial" w:cs="Arial" w:eastAsia="Arial" w:hAnsi="Arial"/>
          <w:b w:val="false"/>
          <w:bCs w:val="false"/>
          <w:i w:val="false"/>
          <w:iCs w:val="false"/>
          <w:color w:val="1A1A1A"/>
          <w:sz w:val="20"/>
          <w:szCs w:val="20"/>
        </w:rPr>
        <w:t xml:space="preserve">(a)  the Company has sufficient authorised but unissued share capital to effect the share issuance;</w:t>
      </w:r>
    </w:p>
    <w:p>
      <w:pPr>
        <w:spacing w:before="40" w:after="40"/>
        <w:ind w:left="360"/>
        <w:jc w:val="left"/>
      </w:pPr>
      <w:r>
        <w:rPr>
          <w:rFonts w:ascii="Arial" w:cs="Arial" w:eastAsia="Arial" w:hAnsi="Arial"/>
          <w:b w:val="false"/>
          <w:bCs w:val="false"/>
          <w:i w:val="false"/>
          <w:iCs w:val="false"/>
          <w:color w:val="1A1A1A"/>
          <w:sz w:val="20"/>
          <w:szCs w:val="20"/>
        </w:rPr>
        <w:t xml:space="preserve">(b)  the issuance will not result in the Company being unable to pay its debts as they fall due;</w:t>
      </w:r>
    </w:p>
    <w:p>
      <w:pPr>
        <w:spacing w:before="40" w:after="40"/>
        <w:ind w:left="360"/>
        <w:jc w:val="left"/>
      </w:pPr>
      <w:r>
        <w:rPr>
          <w:rFonts w:ascii="Arial" w:cs="Arial" w:eastAsia="Arial" w:hAnsi="Arial"/>
          <w:b w:val="false"/>
          <w:bCs w:val="false"/>
          <w:i w:val="false"/>
          <w:iCs w:val="false"/>
          <w:color w:val="1A1A1A"/>
          <w:sz w:val="20"/>
          <w:szCs w:val="20"/>
        </w:rPr>
        <w:t xml:space="preserve">(c)  the consideration for the shares is adequate and in the best interests of the Company;</w:t>
      </w:r>
    </w:p>
    <w:p>
      <w:pPr>
        <w:spacing w:before="40" w:after="40"/>
        <w:ind w:left="360"/>
        <w:jc w:val="left"/>
      </w:pPr>
      <w:r>
        <w:rPr>
          <w:rFonts w:ascii="Arial" w:cs="Arial" w:eastAsia="Arial" w:hAnsi="Arial"/>
          <w:b w:val="false"/>
          <w:bCs w:val="false"/>
          <w:i w:val="false"/>
          <w:iCs w:val="false"/>
          <w:color w:val="1A1A1A"/>
          <w:sz w:val="20"/>
          <w:szCs w:val="20"/>
        </w:rPr>
        <w:t xml:space="preserve">(d)  no other shareholder or third-party consent is required to give effect to these resolutions.</w:t>
      </w:r>
    </w:p>
    <w:p>
      <w:pPr>
        <w:spacing w:before="80" w:after="80"/>
      </w:pPr>
      <w:r>
        <w:t xml:space="preserve"/>
      </w:r>
    </w:p>
    <w:p>
      <w:pPr>
        <w:spacing w:before="80" w:after="80"/>
      </w:pPr>
      <w:r>
        <w:t xml:space="preserve"/>
      </w:r>
    </w:p>
    <w:p>
      <w:pPr>
        <w:spacing w:before="160" w:after="80"/>
        <w:jc w:val="left"/>
      </w:pPr>
      <w:r>
        <w:rPr>
          <w:rFonts w:ascii="Arial" w:cs="Arial" w:eastAsia="Arial" w:hAnsi="Arial"/>
          <w:b/>
          <w:bCs/>
          <w:i w:val="false"/>
          <w:iCs w:val="false"/>
          <w:color w:val="1A1A1A"/>
          <w:sz w:val="20"/>
          <w:szCs w:val="20"/>
        </w:rPr>
        <w:t xml:space="preserve">SIGNED by the Director of EthicHawks (Pty) Ltd:</w:t>
      </w:r>
    </w:p>
    <w:p>
      <w:pPr>
        <w:spacing w:before="40" w:after="60"/>
        <w:jc w:val="left"/>
      </w:pPr>
      <w:r>
        <w:rPr>
          <w:rFonts w:ascii="Arial" w:cs="Arial" w:eastAsia="Arial" w:hAnsi="Arial"/>
          <w:b/>
          <w:bCs/>
          <w:i w:val="false"/>
          <w:iCs w:val="false"/>
          <w:color w:val="1A1A1A"/>
          <w:sz w:val="20"/>
          <w:szCs w:val="20"/>
        </w:rPr>
        <w:t xml:space="preserve">Director: Wilbur Matthee</w:t>
      </w:r>
    </w:p>
    <w:p>
      <w:pPr>
        <w:spacing w:before="60" w:after="40"/>
        <w:jc w:val="left"/>
      </w:pPr>
      <w:r>
        <w:rPr>
          <w:rFonts w:ascii="Arial" w:cs="Arial" w:eastAsia="Arial" w:hAnsi="Arial"/>
          <w:b w:val="false"/>
          <w:bCs w:val="false"/>
          <w:i w:val="false"/>
          <w:iCs w:val="false"/>
          <w:color w:val="1A1A1A"/>
          <w:sz w:val="20"/>
          <w:szCs w:val="20"/>
        </w:rPr>
        <w:t xml:space="preserve">Signature: _______________________________</w:t>
      </w:r>
    </w:p>
    <w:p>
      <w:pPr>
        <w:spacing w:before="40" w:after="40"/>
        <w:jc w:val="left"/>
      </w:pPr>
      <w:r>
        <w:rPr>
          <w:rFonts w:ascii="Arial" w:cs="Arial" w:eastAsia="Arial" w:hAnsi="Arial"/>
          <w:b w:val="false"/>
          <w:bCs w:val="false"/>
          <w:i w:val="false"/>
          <w:iCs w:val="false"/>
          <w:color w:val="1A1A1A"/>
          <w:sz w:val="20"/>
          <w:szCs w:val="20"/>
        </w:rPr>
        <w:t xml:space="preserve">Date: _________________ 2026</w:t>
      </w:r>
    </w:p>
    <w:p>
      <w:pPr>
        <w:spacing w:before="40" w:after="60"/>
        <w:jc w:val="left"/>
      </w:pPr>
      <w:r>
        <w:rPr>
          <w:rFonts w:ascii="Arial" w:cs="Arial" w:eastAsia="Arial" w:hAnsi="Arial"/>
          <w:b w:val="false"/>
          <w:bCs w:val="false"/>
          <w:i w:val="false"/>
          <w:iCs w:val="false"/>
          <w:color w:val="1A1A1A"/>
          <w:sz w:val="20"/>
          <w:szCs w:val="20"/>
        </w:rPr>
        <w:t xml:space="preserve">Place: Cape Town, South Africa</w:t>
      </w:r>
    </w:p>
    <w:p>
      <w:pPr>
        <w:spacing w:before="80" w:after="80"/>
      </w:pPr>
      <w:r>
        <w:t xml:space="preserve"/>
      </w:r>
    </w:p>
    <w:p>
      <w:pPr>
        <w:pBdr>
          <w:top w:val="single" w:color="006B6B" w:sz="6" w:space="4"/>
        </w:pBdr>
        <w:spacing w:before="120" w:after="0"/>
        <w:jc w:val="left"/>
      </w:pPr>
      <w:r>
        <w:rPr>
          <w:rFonts w:ascii="Arial" w:cs="Arial" w:eastAsia="Arial" w:hAnsi="Arial"/>
          <w:b w:val="false"/>
          <w:bCs w:val="false"/>
          <w:i/>
          <w:iCs/>
          <w:color w:val="888888"/>
          <w:sz w:val="17"/>
          <w:szCs w:val="17"/>
        </w:rPr>
        <w:t xml:space="preserve">This written resolution is passed in terms of section 74 of the Companies Act 71 of 2008 and shall have the same effect as a resolution passed at a duly convened meeting of the Board of Directors.</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BOARD RESOLUTION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2026-03-30T09:30:53.216Z</dcterms:created>
  <dcterms:modified xsi:type="dcterms:W3CDTF">2026-03-30T09:30:53.216Z</dcterms:modified>
</cp:coreProperties>
</file>

<file path=docProps/custom.xml><?xml version="1.0" encoding="utf-8"?>
<Properties xmlns="http://schemas.openxmlformats.org/officeDocument/2006/custom-properties" xmlns:vt="http://schemas.openxmlformats.org/officeDocument/2006/docPropsVTypes"/>
</file>