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4F610" w14:textId="77777777" w:rsidR="00FB6383" w:rsidRDefault="00000000">
      <w:pPr>
        <w:spacing w:after="80"/>
        <w:jc w:val="center"/>
      </w:pPr>
      <w:r>
        <w:rPr>
          <w:b/>
          <w:bCs/>
          <w:color w:val="1B2A4A"/>
          <w:sz w:val="26"/>
          <w:szCs w:val="26"/>
        </w:rPr>
        <w:t>ETHICHAWKS FORENSIC GOVERNANCE &amp; COMPLIANCE CONSULTANCY</w:t>
      </w:r>
    </w:p>
    <w:p w14:paraId="21A0B10F" w14:textId="77777777" w:rsidR="00FB6383" w:rsidRDefault="00000000">
      <w:pPr>
        <w:spacing w:after="80"/>
        <w:jc w:val="center"/>
      </w:pPr>
      <w:r>
        <w:rPr>
          <w:color w:val="B8972A"/>
          <w:sz w:val="18"/>
          <w:szCs w:val="18"/>
        </w:rPr>
        <w:t xml:space="preserve">info@ethichawks.co.za | 069 635 1435 | 15 Bellevue Street, </w:t>
      </w:r>
      <w:proofErr w:type="spellStart"/>
      <w:r>
        <w:rPr>
          <w:color w:val="B8972A"/>
          <w:sz w:val="18"/>
          <w:szCs w:val="18"/>
        </w:rPr>
        <w:t>Voorbrug</w:t>
      </w:r>
      <w:proofErr w:type="spellEnd"/>
      <w:r>
        <w:rPr>
          <w:color w:val="B8972A"/>
          <w:sz w:val="18"/>
          <w:szCs w:val="18"/>
        </w:rPr>
        <w:t>, Cape Town, 7001</w:t>
      </w:r>
    </w:p>
    <w:p w14:paraId="2CB55FD9" w14:textId="77777777" w:rsidR="00FB6383" w:rsidRDefault="00FB6383">
      <w:pPr>
        <w:pBdr>
          <w:bottom w:val="single" w:sz="6" w:space="1" w:color="B8972A"/>
        </w:pBdr>
        <w:spacing w:after="200"/>
      </w:pPr>
    </w:p>
    <w:p w14:paraId="452AC1AD" w14:textId="77777777" w:rsidR="00FB6383" w:rsidRDefault="00000000">
      <w:pPr>
        <w:spacing w:after="80"/>
        <w:jc w:val="center"/>
      </w:pPr>
      <w:r>
        <w:rPr>
          <w:b/>
          <w:bCs/>
          <w:color w:val="1B2A4A"/>
          <w:sz w:val="24"/>
          <w:szCs w:val="24"/>
        </w:rPr>
        <w:t>SUPPLEMENTARY EVIDENCE NOTE FOR PARLIAMENTARY OVERSIGHT COMMITTEES</w:t>
      </w:r>
    </w:p>
    <w:p w14:paraId="1454EC62" w14:textId="77777777" w:rsidR="00FB6383" w:rsidRDefault="00000000">
      <w:pPr>
        <w:spacing w:after="80"/>
        <w:jc w:val="center"/>
      </w:pPr>
      <w:r>
        <w:rPr>
          <w:b/>
          <w:bCs/>
        </w:rPr>
        <w:t>MATTHEE v AFROCENTRIC HEALTH / MEDSCHEME HOLDINGS — CASE NO: 2026-083299</w:t>
      </w:r>
    </w:p>
    <w:p w14:paraId="18FD199C" w14:textId="77777777" w:rsidR="00FB6383" w:rsidRDefault="00000000">
      <w:pPr>
        <w:spacing w:after="200"/>
        <w:jc w:val="center"/>
      </w:pPr>
      <w:r>
        <w:rPr>
          <w:b/>
          <w:bCs/>
          <w:color w:val="B8972A"/>
        </w:rPr>
        <w:t>LITIGATION BY ATTRITION: EVIDENCE OF CORPORATE CONTEMPT FOR JUDICIAL PROCESS</w:t>
      </w:r>
    </w:p>
    <w:p w14:paraId="40CC3D61" w14:textId="77777777" w:rsidR="00FB6383" w:rsidRDefault="00FB6383">
      <w:pPr>
        <w:pBdr>
          <w:bottom w:val="single" w:sz="6" w:space="1" w:color="B8972A"/>
        </w:pBdr>
        <w:spacing w:after="200"/>
      </w:pPr>
    </w:p>
    <w:p w14:paraId="765B858E" w14:textId="77777777" w:rsidR="00FB6383" w:rsidRDefault="00000000">
      <w:pPr>
        <w:spacing w:after="80"/>
        <w:jc w:val="center"/>
      </w:pPr>
      <w:r>
        <w:rPr>
          <w:i/>
          <w:iCs/>
          <w:sz w:val="19"/>
          <w:szCs w:val="19"/>
        </w:rPr>
        <w:t>Submitted to: Office of the Speaker, National Assembly | NCOP Petitions Committee | Relevant Portfolio Committees</w:t>
      </w:r>
    </w:p>
    <w:p w14:paraId="301F9831" w14:textId="77777777" w:rsidR="00FB6383" w:rsidRDefault="00000000">
      <w:pPr>
        <w:spacing w:after="200"/>
        <w:jc w:val="center"/>
      </w:pPr>
      <w:r>
        <w:rPr>
          <w:i/>
          <w:iCs/>
          <w:sz w:val="19"/>
          <w:szCs w:val="19"/>
        </w:rPr>
        <w:t>Date: 11 June 2026</w:t>
      </w:r>
    </w:p>
    <w:p w14:paraId="471E502A" w14:textId="77777777" w:rsidR="00FB6383" w:rsidRDefault="00FB6383">
      <w:pPr>
        <w:pBdr>
          <w:bottom w:val="single" w:sz="6" w:space="1" w:color="B8972A"/>
        </w:pBdr>
        <w:spacing w:after="200"/>
      </w:pPr>
    </w:p>
    <w:p w14:paraId="70F63638" w14:textId="77777777" w:rsidR="00FB6383" w:rsidRDefault="00000000">
      <w:pPr>
        <w:spacing w:before="200" w:after="120"/>
      </w:pPr>
      <w:r>
        <w:rPr>
          <w:b/>
          <w:bCs/>
          <w:color w:val="1B2A4A"/>
          <w:sz w:val="24"/>
          <w:szCs w:val="24"/>
        </w:rPr>
        <w:t>1. PURPOSE OF THIS NOTE</w:t>
      </w:r>
    </w:p>
    <w:p w14:paraId="308AEFD1" w14:textId="77777777" w:rsidR="00FB6383" w:rsidRDefault="00000000">
      <w:pPr>
        <w:spacing w:after="160"/>
        <w:jc w:val="both"/>
      </w:pPr>
      <w:r>
        <w:rPr>
          <w:sz w:val="22"/>
          <w:szCs w:val="22"/>
        </w:rPr>
        <w:t>This note supplements the formal petition filed with the Parliament of South Africa on 2 June 2026, acknowledged by the Office of the Speaker on the same date. It provides specific documentary evidence of the Respondents' litigation conduct in the pre-trial phase of Labour Court Case No. 2026-083299, submitted for the evaluation of the relevant Portfolio Committees.</w:t>
      </w:r>
    </w:p>
    <w:p w14:paraId="5D1EE6F0" w14:textId="77777777" w:rsidR="00FB6383" w:rsidRDefault="00FB6383">
      <w:pPr>
        <w:spacing w:after="120"/>
      </w:pPr>
    </w:p>
    <w:p w14:paraId="058E6001" w14:textId="77777777" w:rsidR="00FB6383" w:rsidRDefault="00000000">
      <w:pPr>
        <w:spacing w:before="200" w:after="120"/>
      </w:pPr>
      <w:r>
        <w:rPr>
          <w:b/>
          <w:bCs/>
          <w:color w:val="1B2A4A"/>
          <w:sz w:val="24"/>
          <w:szCs w:val="24"/>
        </w:rPr>
        <w:t>2. THE SINGLE MOST SIGNIFICANT PIECE OF EVIDENCE</w:t>
      </w:r>
    </w:p>
    <w:p w14:paraId="4205BF89" w14:textId="77777777" w:rsidR="00FB6383" w:rsidRDefault="00000000">
      <w:pPr>
        <w:spacing w:after="160"/>
        <w:jc w:val="both"/>
      </w:pPr>
      <w:r>
        <w:rPr>
          <w:sz w:val="22"/>
          <w:szCs w:val="22"/>
        </w:rPr>
        <w:t xml:space="preserve">On 1 June 2026, having been formally notified of the Plaintiff's statutory compliance position and the consequences of continued non-cooperation, Mr. Vijay </w:t>
      </w:r>
      <w:proofErr w:type="spellStart"/>
      <w:r>
        <w:rPr>
          <w:sz w:val="22"/>
          <w:szCs w:val="22"/>
        </w:rPr>
        <w:t>Makenjee</w:t>
      </w:r>
      <w:proofErr w:type="spellEnd"/>
      <w:r>
        <w:rPr>
          <w:sz w:val="22"/>
          <w:szCs w:val="22"/>
        </w:rPr>
        <w:t xml:space="preserve">, Advanced Specialist: Employee Relations at </w:t>
      </w:r>
      <w:proofErr w:type="spellStart"/>
      <w:r>
        <w:rPr>
          <w:sz w:val="22"/>
          <w:szCs w:val="22"/>
        </w:rPr>
        <w:t>AfroCentric</w:t>
      </w:r>
      <w:proofErr w:type="spellEnd"/>
      <w:r>
        <w:rPr>
          <w:sz w:val="22"/>
          <w:szCs w:val="22"/>
        </w:rPr>
        <w:t xml:space="preserve"> Health (Pty) Ltd, provided the following response to the Plaintiff's pre-trial conference correspondence:</w:t>
      </w:r>
    </w:p>
    <w:p w14:paraId="7191B4F2" w14:textId="77777777" w:rsidR="00FB6383" w:rsidRDefault="00FB6383">
      <w:pPr>
        <w:spacing w:after="120"/>
      </w:pPr>
    </w:p>
    <w:p w14:paraId="7DD7A15F" w14:textId="77777777" w:rsidR="00FB6383" w:rsidRDefault="00000000">
      <w:pPr>
        <w:spacing w:before="200" w:after="200"/>
        <w:jc w:val="center"/>
      </w:pPr>
      <w:r>
        <w:rPr>
          <w:b/>
          <w:bCs/>
          <w:i/>
          <w:iCs/>
          <w:color w:val="1B2A4A"/>
          <w:sz w:val="26"/>
          <w:szCs w:val="26"/>
        </w:rPr>
        <w:t>"Good luck to you then."</w:t>
      </w:r>
    </w:p>
    <w:p w14:paraId="5456A449" w14:textId="77777777" w:rsidR="00FB6383" w:rsidRDefault="00000000">
      <w:pPr>
        <w:spacing w:after="160"/>
        <w:jc w:val="both"/>
      </w:pPr>
      <w:r>
        <w:rPr>
          <w:sz w:val="22"/>
          <w:szCs w:val="22"/>
        </w:rPr>
        <w:t>This is the complete and unedited reply from the Respondents' Employee Relations specialist to a self-represented litigant who, at the time of this correspondence:</w:t>
      </w:r>
    </w:p>
    <w:p w14:paraId="1AE95838" w14:textId="77777777" w:rsidR="00FB6383" w:rsidRDefault="00000000">
      <w:pPr>
        <w:spacing w:after="80"/>
        <w:ind w:left="720"/>
      </w:pPr>
      <w:r>
        <w:rPr>
          <w:sz w:val="22"/>
          <w:szCs w:val="22"/>
        </w:rPr>
        <w:t>(a)  Had been without running water since January 2026;</w:t>
      </w:r>
    </w:p>
    <w:p w14:paraId="04EA0BB4" w14:textId="77777777" w:rsidR="00FB6383" w:rsidRDefault="00000000">
      <w:pPr>
        <w:spacing w:after="80"/>
        <w:ind w:left="720"/>
      </w:pPr>
      <w:r>
        <w:rPr>
          <w:sz w:val="22"/>
          <w:szCs w:val="22"/>
        </w:rPr>
        <w:t>(b)  Was facing imminent eviction with four months of rental arrears;</w:t>
      </w:r>
    </w:p>
    <w:p w14:paraId="21CFA413" w14:textId="77777777" w:rsidR="00FB6383" w:rsidRDefault="00000000">
      <w:pPr>
        <w:spacing w:after="80"/>
        <w:ind w:left="720"/>
      </w:pPr>
      <w:r>
        <w:rPr>
          <w:sz w:val="22"/>
          <w:szCs w:val="22"/>
        </w:rPr>
        <w:t>(c)  Had been deregistered by the SANC due to inability to pay an R870 annual fee, stripping him of his ability to practise as a nurse;</w:t>
      </w:r>
    </w:p>
    <w:p w14:paraId="35D642C5" w14:textId="77777777" w:rsidR="00FB6383" w:rsidRDefault="00000000">
      <w:pPr>
        <w:spacing w:after="80"/>
        <w:ind w:left="720"/>
      </w:pPr>
      <w:r>
        <w:rPr>
          <w:sz w:val="22"/>
          <w:szCs w:val="22"/>
        </w:rPr>
        <w:t>(d)  Had suffered seizure of personal possessions by predatory informal creditors;</w:t>
      </w:r>
    </w:p>
    <w:p w14:paraId="77CC5F8C" w14:textId="77777777" w:rsidR="00FB6383" w:rsidRDefault="00000000">
      <w:pPr>
        <w:spacing w:after="80"/>
        <w:ind w:left="720"/>
      </w:pPr>
      <w:r>
        <w:rPr>
          <w:sz w:val="22"/>
          <w:szCs w:val="22"/>
        </w:rPr>
        <w:t>(e)  Had formally diagnosed severe depression and PTSD as a direct consequence of the Respondents' conduct; and</w:t>
      </w:r>
    </w:p>
    <w:p w14:paraId="767A71D8" w14:textId="77777777" w:rsidR="00FB6383" w:rsidRDefault="00000000">
      <w:pPr>
        <w:spacing w:after="200"/>
        <w:ind w:left="720"/>
      </w:pPr>
      <w:r>
        <w:rPr>
          <w:sz w:val="22"/>
          <w:szCs w:val="22"/>
        </w:rPr>
        <w:t xml:space="preserve">(f)  Was a </w:t>
      </w:r>
      <w:proofErr w:type="spellStart"/>
      <w:r>
        <w:rPr>
          <w:sz w:val="22"/>
          <w:szCs w:val="22"/>
        </w:rPr>
        <w:t>whistleblower</w:t>
      </w:r>
      <w:proofErr w:type="spellEnd"/>
      <w:r>
        <w:rPr>
          <w:sz w:val="22"/>
          <w:szCs w:val="22"/>
        </w:rPr>
        <w:t xml:space="preserve"> who had reported a Priority 1 patient safety risk affecting 1.9 million GEMS beneficiaries.</w:t>
      </w:r>
    </w:p>
    <w:p w14:paraId="526E7290" w14:textId="77777777" w:rsidR="00FB6383" w:rsidRDefault="00FB6383">
      <w:pPr>
        <w:spacing w:after="120"/>
      </w:pPr>
    </w:p>
    <w:p w14:paraId="722DEB55" w14:textId="77777777" w:rsidR="00FB6383" w:rsidRDefault="00000000">
      <w:pPr>
        <w:spacing w:before="200" w:after="120"/>
      </w:pPr>
      <w:r>
        <w:rPr>
          <w:b/>
          <w:bCs/>
          <w:color w:val="1B2A4A"/>
          <w:sz w:val="24"/>
          <w:szCs w:val="24"/>
        </w:rPr>
        <w:t>3. WHAT THIS RESPONSE REVEALS</w:t>
      </w:r>
    </w:p>
    <w:p w14:paraId="66AA00BB" w14:textId="68B195A0" w:rsidR="00FB6383" w:rsidRDefault="00000000">
      <w:pPr>
        <w:spacing w:after="160"/>
        <w:jc w:val="both"/>
      </w:pPr>
      <w:r>
        <w:rPr>
          <w:sz w:val="22"/>
          <w:szCs w:val="22"/>
        </w:rPr>
        <w:t xml:space="preserve">The Committees are respectfully invited to evaluate this </w:t>
      </w:r>
      <w:r w:rsidR="00F84D72">
        <w:rPr>
          <w:sz w:val="22"/>
          <w:szCs w:val="22"/>
        </w:rPr>
        <w:t>five-</w:t>
      </w:r>
      <w:r>
        <w:rPr>
          <w:sz w:val="22"/>
          <w:szCs w:val="22"/>
        </w:rPr>
        <w:t>word response in context:</w:t>
      </w:r>
    </w:p>
    <w:p w14:paraId="22EAF282" w14:textId="77777777" w:rsidR="00FB6383" w:rsidRDefault="00000000">
      <w:pPr>
        <w:spacing w:after="120"/>
        <w:ind w:left="360"/>
      </w:pPr>
      <w:r>
        <w:rPr>
          <w:sz w:val="22"/>
          <w:szCs w:val="22"/>
        </w:rPr>
        <w:lastRenderedPageBreak/>
        <w:t xml:space="preserve">3.1  Contempt for legal process: Mr. </w:t>
      </w:r>
      <w:proofErr w:type="spellStart"/>
      <w:r>
        <w:rPr>
          <w:sz w:val="22"/>
          <w:szCs w:val="22"/>
        </w:rPr>
        <w:t>Makenjee</w:t>
      </w:r>
      <w:proofErr w:type="spellEnd"/>
      <w:r>
        <w:rPr>
          <w:sz w:val="22"/>
          <w:szCs w:val="22"/>
        </w:rPr>
        <w:t xml:space="preserve"> did not dispute the Plaintiff's legal arguments. He did not propose a compliant alternative date. He provided no substantive engagement. He chose mockery.</w:t>
      </w:r>
    </w:p>
    <w:p w14:paraId="2A662046" w14:textId="77777777" w:rsidR="00FB6383" w:rsidRDefault="00000000">
      <w:pPr>
        <w:spacing w:after="120"/>
        <w:ind w:left="360"/>
      </w:pPr>
      <w:r>
        <w:rPr>
          <w:sz w:val="22"/>
          <w:szCs w:val="22"/>
        </w:rPr>
        <w:t>3.2  Confirmation of attrition strategy: When the Plaintiff refused to be moved from his legal position, this response confirms that the Respondents' objective was never procedural compliance — it was exhaustion of an unrepresented, financially destitute opponent.</w:t>
      </w:r>
    </w:p>
    <w:p w14:paraId="2AF0D601" w14:textId="77777777" w:rsidR="00FB6383" w:rsidRDefault="00000000">
      <w:pPr>
        <w:spacing w:after="120"/>
        <w:ind w:left="360"/>
      </w:pPr>
      <w:r>
        <w:rPr>
          <w:sz w:val="22"/>
          <w:szCs w:val="22"/>
        </w:rPr>
        <w:t>3.3  Institutional indifference to humanitarian crisis: This response was sent by a senior corporate professional, using corporate resources, to a man in active humanitarian crisis — a crisis caused directly by the Respondents' own conduct.</w:t>
      </w:r>
    </w:p>
    <w:p w14:paraId="744E9D28" w14:textId="77777777" w:rsidR="00FB6383" w:rsidRDefault="00000000">
      <w:pPr>
        <w:spacing w:after="200"/>
        <w:ind w:left="360"/>
      </w:pPr>
      <w:r>
        <w:rPr>
          <w:sz w:val="22"/>
          <w:szCs w:val="22"/>
        </w:rPr>
        <w:t xml:space="preserve">3.4  Proof of occupational detriment: The response is itself a continuation of the pattern of detriment against a protected </w:t>
      </w:r>
      <w:proofErr w:type="spellStart"/>
      <w:r>
        <w:rPr>
          <w:sz w:val="22"/>
          <w:szCs w:val="22"/>
        </w:rPr>
        <w:t>whistleblower</w:t>
      </w:r>
      <w:proofErr w:type="spellEnd"/>
      <w:r>
        <w:rPr>
          <w:sz w:val="22"/>
          <w:szCs w:val="22"/>
        </w:rPr>
        <w:t>, executed through calculated procedural contempt rather than physical action.</w:t>
      </w:r>
    </w:p>
    <w:p w14:paraId="06EFFB99" w14:textId="77777777" w:rsidR="00FB6383" w:rsidRDefault="00FB6383">
      <w:pPr>
        <w:spacing w:after="120"/>
      </w:pPr>
    </w:p>
    <w:p w14:paraId="3F93DDFF" w14:textId="77777777" w:rsidR="00FB6383" w:rsidRDefault="00000000">
      <w:pPr>
        <w:spacing w:before="200" w:after="120"/>
      </w:pPr>
      <w:r>
        <w:rPr>
          <w:b/>
          <w:bCs/>
          <w:color w:val="1B2A4A"/>
          <w:sz w:val="24"/>
          <w:szCs w:val="24"/>
        </w:rPr>
        <w:t>4. THE DOCUMENTED OBSTRUCTION SEQUENCE</w:t>
      </w:r>
    </w:p>
    <w:p w14:paraId="26B84911" w14:textId="77777777" w:rsidR="00FB6383" w:rsidRDefault="00000000">
      <w:pPr>
        <w:spacing w:after="160"/>
        <w:jc w:val="both"/>
      </w:pPr>
      <w:r>
        <w:rPr>
          <w:sz w:val="22"/>
          <w:szCs w:val="22"/>
        </w:rPr>
        <w:t>For the Committees' record, the chronology of the Respondents' procedural obstruction is as follows:</w:t>
      </w:r>
    </w:p>
    <w:p w14:paraId="06D7EB51" w14:textId="77777777" w:rsidR="00FB6383" w:rsidRDefault="00000000">
      <w:pPr>
        <w:spacing w:after="80"/>
        <w:ind w:left="360"/>
      </w:pPr>
      <w:r>
        <w:rPr>
          <w:b/>
          <w:bCs/>
          <w:sz w:val="22"/>
          <w:szCs w:val="22"/>
        </w:rPr>
        <w:t>21 May 2026 — Plaintiff's Replication served; pleadings close.</w:t>
      </w:r>
    </w:p>
    <w:p w14:paraId="246B499C" w14:textId="77777777" w:rsidR="00FB6383" w:rsidRDefault="00000000">
      <w:pPr>
        <w:spacing w:after="80"/>
        <w:ind w:left="360"/>
      </w:pPr>
      <w:r>
        <w:rPr>
          <w:sz w:val="22"/>
          <w:szCs w:val="22"/>
        </w:rPr>
        <w:t>29 May 2026 — Plaintiff proposes pre-trial conference and requests three compliant dates.</w:t>
      </w:r>
    </w:p>
    <w:p w14:paraId="42F3AE94" w14:textId="77777777" w:rsidR="00FB6383" w:rsidRDefault="00000000">
      <w:pPr>
        <w:spacing w:after="80"/>
        <w:ind w:left="360"/>
      </w:pPr>
      <w:r>
        <w:rPr>
          <w:sz w:val="22"/>
          <w:szCs w:val="22"/>
        </w:rPr>
        <w:t>1 June 2026 (15:08) — Respondents claim Replication was not properly served; allege pleadings have not closed.</w:t>
      </w:r>
    </w:p>
    <w:p w14:paraId="197D337E" w14:textId="77777777" w:rsidR="00FB6383" w:rsidRDefault="00000000">
      <w:pPr>
        <w:spacing w:after="80"/>
        <w:ind w:left="360"/>
      </w:pPr>
      <w:r>
        <w:rPr>
          <w:sz w:val="22"/>
          <w:szCs w:val="22"/>
        </w:rPr>
        <w:t>1 June 2026 (18:43) — Respondents propose 22 June 2026 as the pre-trial conference date.</w:t>
      </w:r>
    </w:p>
    <w:p w14:paraId="732D2670" w14:textId="77777777" w:rsidR="00FB6383" w:rsidRDefault="00000000">
      <w:pPr>
        <w:spacing w:after="80"/>
        <w:ind w:left="360"/>
      </w:pPr>
      <w:r>
        <w:rPr>
          <w:sz w:val="22"/>
          <w:szCs w:val="22"/>
        </w:rPr>
        <w:t>1 June 2026 (19:23) — Plaintiff rejects 22 June as non-compliant; provides three statutory dates.</w:t>
      </w:r>
    </w:p>
    <w:p w14:paraId="26288356" w14:textId="77777777" w:rsidR="00FB6383" w:rsidRDefault="00000000">
      <w:pPr>
        <w:spacing w:after="80"/>
        <w:ind w:left="360"/>
      </w:pPr>
      <w:r>
        <w:rPr>
          <w:sz w:val="22"/>
          <w:szCs w:val="22"/>
        </w:rPr>
        <w:t>1 June 2026 (19:43) — Respondents cite Rule 22 to justify 22 June.</w:t>
      </w:r>
    </w:p>
    <w:p w14:paraId="7B433C40" w14:textId="77777777" w:rsidR="00FB6383" w:rsidRDefault="00000000">
      <w:pPr>
        <w:spacing w:after="80"/>
        <w:ind w:left="360"/>
      </w:pPr>
      <w:r>
        <w:rPr>
          <w:sz w:val="22"/>
          <w:szCs w:val="22"/>
        </w:rPr>
        <w:t>1 June 2026 (20:08) — Plaintiff formally states intention to file unilaterally on 10 June if no compliant date is provided.</w:t>
      </w:r>
    </w:p>
    <w:p w14:paraId="5D6B646D" w14:textId="77777777" w:rsidR="00FB6383" w:rsidRDefault="00000000">
      <w:pPr>
        <w:spacing w:after="80"/>
        <w:ind w:left="360"/>
      </w:pPr>
      <w:r>
        <w:rPr>
          <w:b/>
          <w:bCs/>
          <w:sz w:val="22"/>
          <w:szCs w:val="22"/>
        </w:rPr>
        <w:t>2 June 2026 (12:29) — Respondents' final response: 'Good luck to you then.'</w:t>
      </w:r>
    </w:p>
    <w:p w14:paraId="7BF88921" w14:textId="77777777" w:rsidR="00FB6383" w:rsidRDefault="00000000">
      <w:pPr>
        <w:spacing w:after="200"/>
        <w:ind w:left="360"/>
      </w:pPr>
      <w:r>
        <w:rPr>
          <w:sz w:val="22"/>
          <w:szCs w:val="22"/>
        </w:rPr>
        <w:t xml:space="preserve">2 June 2026 (14:53) — </w:t>
      </w:r>
      <w:proofErr w:type="spellStart"/>
      <w:r>
        <w:rPr>
          <w:sz w:val="22"/>
          <w:szCs w:val="22"/>
        </w:rPr>
        <w:t>Deneys</w:t>
      </w:r>
      <w:proofErr w:type="spellEnd"/>
      <w:r>
        <w:rPr>
          <w:sz w:val="22"/>
          <w:szCs w:val="22"/>
        </w:rPr>
        <w:t xml:space="preserve"> Attorneys acknowledge formal notice; no compliant dates proposed.</w:t>
      </w:r>
    </w:p>
    <w:p w14:paraId="08B1A789" w14:textId="77777777" w:rsidR="00FB6383" w:rsidRDefault="00FB6383">
      <w:pPr>
        <w:spacing w:after="120"/>
      </w:pPr>
    </w:p>
    <w:p w14:paraId="2274DF81" w14:textId="77777777" w:rsidR="00FB6383" w:rsidRDefault="00000000">
      <w:pPr>
        <w:spacing w:before="200" w:after="120"/>
      </w:pPr>
      <w:r>
        <w:rPr>
          <w:b/>
          <w:bCs/>
          <w:color w:val="1B2A4A"/>
          <w:sz w:val="24"/>
          <w:szCs w:val="24"/>
        </w:rPr>
        <w:t>5. CONCLUSION</w:t>
      </w:r>
    </w:p>
    <w:p w14:paraId="78AF1C32" w14:textId="211C6376" w:rsidR="00FB6383" w:rsidRDefault="00000000">
      <w:pPr>
        <w:spacing w:after="160"/>
        <w:jc w:val="both"/>
      </w:pPr>
      <w:r>
        <w:rPr>
          <w:sz w:val="22"/>
          <w:szCs w:val="22"/>
        </w:rPr>
        <w:t xml:space="preserve">The Plaintiff submits that the documented conduct above represents a textbook example of litigation by attrition against a self-represented </w:t>
      </w:r>
      <w:proofErr w:type="spellStart"/>
      <w:r>
        <w:rPr>
          <w:sz w:val="22"/>
          <w:szCs w:val="22"/>
        </w:rPr>
        <w:t>whistleblower</w:t>
      </w:r>
      <w:proofErr w:type="spellEnd"/>
      <w:r>
        <w:rPr>
          <w:sz w:val="22"/>
          <w:szCs w:val="22"/>
        </w:rPr>
        <w:t xml:space="preserve"> in an acute humanitarian crisis. The Respondents possess extensive legal and corporate resources. The Plaintiff has none. The deployment of those resources to manufacture procedural obstacles, dispute settled service questions, and ultimately dismiss a statutory compliance request with </w:t>
      </w:r>
      <w:r w:rsidR="00DD672B">
        <w:rPr>
          <w:sz w:val="22"/>
          <w:szCs w:val="22"/>
        </w:rPr>
        <w:t>fiv</w:t>
      </w:r>
      <w:r>
        <w:rPr>
          <w:sz w:val="22"/>
          <w:szCs w:val="22"/>
        </w:rPr>
        <w:t>e words of contempt is precisely the conduct that Parliamentary oversight exists to scrutinise.</w:t>
      </w:r>
    </w:p>
    <w:p w14:paraId="70D99D2D" w14:textId="77777777" w:rsidR="00FB6383" w:rsidRDefault="00000000">
      <w:pPr>
        <w:spacing w:after="160"/>
        <w:jc w:val="both"/>
      </w:pPr>
      <w:r>
        <w:rPr>
          <w:sz w:val="22"/>
          <w:szCs w:val="22"/>
        </w:rPr>
        <w:t>The Plaintiff respectfully requests that the Committees note this evidence in full and consider it alongside the broader petition regarding the Priority 1 patient safety risk affecting 1.9 million GEMS beneficiaries that precipitated this matter.</w:t>
      </w:r>
    </w:p>
    <w:p w14:paraId="676FC0A8" w14:textId="77777777" w:rsidR="00FB6383" w:rsidRDefault="00FB6383">
      <w:pPr>
        <w:spacing w:after="120"/>
      </w:pPr>
    </w:p>
    <w:p w14:paraId="453EC9DE" w14:textId="77777777" w:rsidR="00FB6383" w:rsidRDefault="00FB6383">
      <w:pPr>
        <w:spacing w:after="120"/>
      </w:pPr>
    </w:p>
    <w:p w14:paraId="14D32583" w14:textId="77777777" w:rsidR="00FB6383" w:rsidRDefault="00FB6383">
      <w:pPr>
        <w:pBdr>
          <w:bottom w:val="single" w:sz="6" w:space="1" w:color="B8972A"/>
        </w:pBdr>
        <w:spacing w:after="200"/>
      </w:pPr>
    </w:p>
    <w:p w14:paraId="0352E098" w14:textId="77777777" w:rsidR="00FB6383" w:rsidRDefault="00000000">
      <w:pPr>
        <w:spacing w:after="160"/>
        <w:jc w:val="both"/>
      </w:pPr>
      <w:r>
        <w:rPr>
          <w:sz w:val="22"/>
          <w:szCs w:val="22"/>
        </w:rPr>
        <w:t>Respectfully submitted,</w:t>
      </w:r>
    </w:p>
    <w:p w14:paraId="1D7EDE12" w14:textId="77777777" w:rsidR="00FB6383" w:rsidRDefault="00FB6383">
      <w:pPr>
        <w:spacing w:after="120"/>
      </w:pPr>
    </w:p>
    <w:p w14:paraId="271A0A85" w14:textId="77777777" w:rsidR="00FB6383" w:rsidRDefault="00000000">
      <w:pPr>
        <w:spacing w:after="160"/>
      </w:pPr>
      <w:r>
        <w:rPr>
          <w:b/>
          <w:bCs/>
          <w:sz w:val="22"/>
          <w:szCs w:val="22"/>
        </w:rPr>
        <w:lastRenderedPageBreak/>
        <w:t>Sr. Wilbur William Matthee</w:t>
      </w:r>
    </w:p>
    <w:p w14:paraId="2D1260B7" w14:textId="77777777" w:rsidR="00FB6383" w:rsidRDefault="00000000">
      <w:pPr>
        <w:spacing w:after="160"/>
        <w:jc w:val="both"/>
      </w:pPr>
      <w:r>
        <w:rPr>
          <w:sz w:val="22"/>
          <w:szCs w:val="22"/>
        </w:rPr>
        <w:t xml:space="preserve">RN | </w:t>
      </w:r>
      <w:proofErr w:type="spellStart"/>
      <w:r>
        <w:rPr>
          <w:sz w:val="22"/>
          <w:szCs w:val="22"/>
        </w:rPr>
        <w:t>BTech</w:t>
      </w:r>
      <w:proofErr w:type="spellEnd"/>
      <w:r>
        <w:rPr>
          <w:sz w:val="22"/>
          <w:szCs w:val="22"/>
        </w:rPr>
        <w:t xml:space="preserve"> General Nursing | PGDip Health Services Management (NQF 8)</w:t>
      </w:r>
    </w:p>
    <w:p w14:paraId="35152280" w14:textId="77777777" w:rsidR="00FB6383" w:rsidRDefault="00000000">
      <w:pPr>
        <w:spacing w:after="160"/>
        <w:jc w:val="both"/>
      </w:pPr>
      <w:r>
        <w:rPr>
          <w:sz w:val="22"/>
          <w:szCs w:val="22"/>
        </w:rPr>
        <w:t xml:space="preserve">Founder, </w:t>
      </w:r>
      <w:proofErr w:type="spellStart"/>
      <w:r>
        <w:rPr>
          <w:sz w:val="22"/>
          <w:szCs w:val="22"/>
        </w:rPr>
        <w:t>EthicHawks</w:t>
      </w:r>
      <w:proofErr w:type="spellEnd"/>
      <w:r>
        <w:rPr>
          <w:sz w:val="22"/>
          <w:szCs w:val="22"/>
        </w:rPr>
        <w:t xml:space="preserve"> Forensic Governance &amp; Compliance Consultancy</w:t>
      </w:r>
    </w:p>
    <w:p w14:paraId="06D9500F" w14:textId="77777777" w:rsidR="00FB6383" w:rsidRDefault="00000000">
      <w:pPr>
        <w:spacing w:after="160"/>
        <w:jc w:val="both"/>
      </w:pPr>
      <w:r>
        <w:rPr>
          <w:sz w:val="22"/>
          <w:szCs w:val="22"/>
        </w:rPr>
        <w:t>info@ethichawks.co.za | 069 635 1435</w:t>
      </w:r>
    </w:p>
    <w:p w14:paraId="59E114D5" w14:textId="77777777" w:rsidR="00FB6383" w:rsidRDefault="00000000">
      <w:pPr>
        <w:spacing w:after="160"/>
        <w:jc w:val="both"/>
      </w:pPr>
      <w:r>
        <w:rPr>
          <w:sz w:val="22"/>
          <w:szCs w:val="22"/>
        </w:rPr>
        <w:t xml:space="preserve">15 Bellevue Street, </w:t>
      </w:r>
      <w:proofErr w:type="spellStart"/>
      <w:r>
        <w:rPr>
          <w:sz w:val="22"/>
          <w:szCs w:val="22"/>
        </w:rPr>
        <w:t>Voorbrug</w:t>
      </w:r>
      <w:proofErr w:type="spellEnd"/>
      <w:r>
        <w:rPr>
          <w:sz w:val="22"/>
          <w:szCs w:val="22"/>
        </w:rPr>
        <w:t>, Cape Town, 7001</w:t>
      </w:r>
    </w:p>
    <w:sectPr w:rsidR="00FB638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E16DF"/>
    <w:multiLevelType w:val="hybridMultilevel"/>
    <w:tmpl w:val="FFFFFFFF"/>
    <w:lvl w:ilvl="0" w:tplc="550E5FA2">
      <w:start w:val="1"/>
      <w:numFmt w:val="bullet"/>
      <w:lvlText w:val="●"/>
      <w:lvlJc w:val="left"/>
      <w:pPr>
        <w:ind w:left="720" w:hanging="360"/>
      </w:pPr>
    </w:lvl>
    <w:lvl w:ilvl="1" w:tplc="46801A0C">
      <w:start w:val="1"/>
      <w:numFmt w:val="bullet"/>
      <w:lvlText w:val="○"/>
      <w:lvlJc w:val="left"/>
      <w:pPr>
        <w:ind w:left="1440" w:hanging="360"/>
      </w:pPr>
    </w:lvl>
    <w:lvl w:ilvl="2" w:tplc="8904BE9C">
      <w:start w:val="1"/>
      <w:numFmt w:val="bullet"/>
      <w:lvlText w:val="■"/>
      <w:lvlJc w:val="left"/>
      <w:pPr>
        <w:ind w:left="2160" w:hanging="360"/>
      </w:pPr>
    </w:lvl>
    <w:lvl w:ilvl="3" w:tplc="0246A110">
      <w:start w:val="1"/>
      <w:numFmt w:val="bullet"/>
      <w:lvlText w:val="●"/>
      <w:lvlJc w:val="left"/>
      <w:pPr>
        <w:ind w:left="2880" w:hanging="360"/>
      </w:pPr>
    </w:lvl>
    <w:lvl w:ilvl="4" w:tplc="5802ACF2">
      <w:start w:val="1"/>
      <w:numFmt w:val="bullet"/>
      <w:lvlText w:val="○"/>
      <w:lvlJc w:val="left"/>
      <w:pPr>
        <w:ind w:left="3600" w:hanging="360"/>
      </w:pPr>
    </w:lvl>
    <w:lvl w:ilvl="5" w:tplc="73FAD54A">
      <w:start w:val="1"/>
      <w:numFmt w:val="bullet"/>
      <w:lvlText w:val="■"/>
      <w:lvlJc w:val="left"/>
      <w:pPr>
        <w:ind w:left="4320" w:hanging="360"/>
      </w:pPr>
    </w:lvl>
    <w:lvl w:ilvl="6" w:tplc="26D047D6">
      <w:start w:val="1"/>
      <w:numFmt w:val="bullet"/>
      <w:lvlText w:val="●"/>
      <w:lvlJc w:val="left"/>
      <w:pPr>
        <w:ind w:left="5040" w:hanging="360"/>
      </w:pPr>
    </w:lvl>
    <w:lvl w:ilvl="7" w:tplc="5BC2A3C2">
      <w:start w:val="1"/>
      <w:numFmt w:val="bullet"/>
      <w:lvlText w:val="●"/>
      <w:lvlJc w:val="left"/>
      <w:pPr>
        <w:ind w:left="5760" w:hanging="360"/>
      </w:pPr>
    </w:lvl>
    <w:lvl w:ilvl="8" w:tplc="D0E0D27E">
      <w:start w:val="1"/>
      <w:numFmt w:val="bullet"/>
      <w:lvlText w:val="●"/>
      <w:lvlJc w:val="left"/>
      <w:pPr>
        <w:ind w:left="6480" w:hanging="360"/>
      </w:pPr>
    </w:lvl>
  </w:abstractNum>
  <w:num w:numId="1" w16cid:durableId="4852491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383"/>
    <w:rsid w:val="00315D51"/>
    <w:rsid w:val="00DD672B"/>
    <w:rsid w:val="00F84D72"/>
    <w:rsid w:val="00FB638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57E1E60"/>
  <w15:docId w15:val="{1BFC7BDE-8433-2E41-AF55-31209F7C4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761</Words>
  <Characters>4338</Characters>
  <Application>Microsoft Office Word</Application>
  <DocSecurity>0</DocSecurity>
  <Lines>36</Lines>
  <Paragraphs>10</Paragraphs>
  <ScaleCrop>false</ScaleCrop>
  <Company/>
  <LinksUpToDate>false</LinksUpToDate>
  <CharactersWithSpaces>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Ethics Hawks</cp:lastModifiedBy>
  <cp:revision>3</cp:revision>
  <dcterms:created xsi:type="dcterms:W3CDTF">2026-06-02T22:31:00Z</dcterms:created>
  <dcterms:modified xsi:type="dcterms:W3CDTF">2026-06-02T22:57:00Z</dcterms:modified>
</cp:coreProperties>
</file>