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A3C5E"/>
          <w:sz w:val="28"/>
          <w:szCs w:val="28"/>
        </w:rPr>
        <w:t xml:space="preserve">MEMORANDUM</w:t>
      </w:r>
    </w:p>
    <w:p>
      <w:pPr>
        <w:pBdr>
          <w:bottom w:val="single" w:color="1A3C5E" w:sz="6" w:space="1"/>
        </w:pBdr>
        <w:spacing w:before="80" w:after="80"/>
      </w:pPr>
      <w:r>
        <w:t xml:space="preserve"/>
      </w:r>
    </w:p>
    <w:p>
      <w:pPr>
        <w:spacing w:before="120" w:after="120"/>
      </w:pPr>
      <w:r>
        <w:t xml:space="preserve"/>
      </w:r>
    </w:p>
    <w:p>
      <w:pPr>
        <w:spacing w:before="60" w:after="60"/>
      </w:pPr>
      <w:r>
        <w:rPr>
          <w:rFonts w:ascii="Arial" w:cs="Arial" w:eastAsia="Arial" w:hAnsi="Arial"/>
          <w:b/>
          <w:bCs/>
          <w:sz w:val="22"/>
          <w:szCs w:val="22"/>
        </w:rPr>
        <w:t xml:space="preserve">TO:		</w:t>
      </w:r>
      <w:r>
        <w:rPr>
          <w:rFonts w:ascii="Arial" w:cs="Arial" w:eastAsia="Arial" w:hAnsi="Arial"/>
          <w:sz w:val="22"/>
          <w:szCs w:val="22"/>
        </w:rPr>
        <w:t xml:space="preserve">The Judge President, Western Cape Division, High Court of South Africa</w:t>
      </w:r>
    </w:p>
    <w:p>
      <w:pPr>
        <w:spacing w:before="60" w:after="60"/>
      </w:pPr>
      <w:r>
        <w:rPr>
          <w:rFonts w:ascii="Arial" w:cs="Arial" w:eastAsia="Arial" w:hAnsi="Arial"/>
          <w:b/>
          <w:bCs/>
          <w:sz w:val="22"/>
          <w:szCs w:val="22"/>
        </w:rPr>
        <w:t xml:space="preserve">FROM:	</w:t>
      </w:r>
      <w:r>
        <w:rPr>
          <w:rFonts w:ascii="Arial" w:cs="Arial" w:eastAsia="Arial" w:hAnsi="Arial"/>
          <w:sz w:val="22"/>
          <w:szCs w:val="22"/>
        </w:rPr>
        <w:t xml:space="preserve">Wilbur William Matthee (Applicant, pro se) — HCGS950121</w:t>
      </w:r>
    </w:p>
    <w:p>
      <w:pPr>
        <w:spacing w:before="60" w:after="60"/>
      </w:pPr>
      <w:r>
        <w:rPr>
          <w:rFonts w:ascii="Arial" w:cs="Arial" w:eastAsia="Arial" w:hAnsi="Arial"/>
          <w:b/>
          <w:bCs/>
          <w:sz w:val="22"/>
          <w:szCs w:val="22"/>
        </w:rPr>
        <w:t xml:space="preserve">DATE:	</w:t>
      </w:r>
      <w:r>
        <w:rPr>
          <w:rFonts w:ascii="Arial" w:cs="Arial" w:eastAsia="Arial" w:hAnsi="Arial"/>
          <w:sz w:val="22"/>
          <w:szCs w:val="22"/>
        </w:rPr>
        <w:t xml:space="preserve">25 March 2026</w:t>
      </w:r>
    </w:p>
    <w:p>
      <w:pPr>
        <w:spacing w:before="60" w:after="60"/>
      </w:pPr>
      <w:r>
        <w:rPr>
          <w:rFonts w:ascii="Arial" w:cs="Arial" w:eastAsia="Arial" w:hAnsi="Arial"/>
          <w:b/>
          <w:bCs/>
          <w:sz w:val="22"/>
          <w:szCs w:val="22"/>
        </w:rPr>
        <w:t xml:space="preserve">RE:		</w:t>
      </w:r>
      <w:r>
        <w:rPr>
          <w:rFonts w:ascii="Arial" w:cs="Arial" w:eastAsia="Arial" w:hAnsi="Arial"/>
          <w:sz w:val="22"/>
          <w:szCs w:val="22"/>
        </w:rPr>
        <w:t xml:space="preserve">Formal Complaint — Procedural Irregularities and Denial of Fair Hearing in Urgent Application HCGS950121 Heard on 25 March 2026 (Matthee v Bruno Fernandes &amp; Others)</w:t>
      </w:r>
    </w:p>
    <w:p>
      <w:pPr>
        <w:pBdr>
          <w:bottom w:val="single" w:color="1A3C5E" w:sz="6" w:space="1"/>
        </w:pBdr>
        <w:spacing w:before="80" w:after="80"/>
      </w:pPr>
      <w:r>
        <w:t xml:space="preserve"/>
      </w:r>
    </w:p>
    <w:p>
      <w:pPr>
        <w:spacing w:before="160" w:after="160"/>
      </w:pPr>
      <w:r>
        <w:t xml:space="preserve"/>
      </w:r>
    </w:p>
    <w:p>
      <w:pPr>
        <w:spacing w:before="280" w:after="120"/>
      </w:pPr>
      <w:r>
        <w:rPr>
          <w:rFonts w:ascii="Arial" w:cs="Arial" w:eastAsia="Arial" w:hAnsi="Arial"/>
          <w:b/>
          <w:bCs/>
          <w:color w:val="1A3C5E"/>
          <w:sz w:val="28"/>
          <w:szCs w:val="28"/>
        </w:rPr>
        <w:t xml:space="preserve">1. PURPOSE OF THIS MEMORANDUM</w:t>
      </w:r>
    </w:p>
    <w:p>
      <w:pPr>
        <w:spacing w:before="60" w:after="60"/>
        <w:jc w:val="both"/>
      </w:pPr>
      <w:r>
        <w:rPr>
          <w:rFonts w:ascii="Arial" w:cs="Arial" w:eastAsia="Arial" w:hAnsi="Arial"/>
          <w:b w:val="false"/>
          <w:bCs w:val="false"/>
          <w:i w:val="false"/>
          <w:iCs w:val="false"/>
          <w:sz w:val="22"/>
          <w:szCs w:val="22"/>
        </w:rPr>
        <w:t xml:space="preserve">This Memorandum is submitted to Your Lordship/Ladyship in your administrative and supervisory capacity as Judge President of the Western Cape Division, pursuant to the constitutional and statutory obligations of the superior court judiciary to ensure that all litigants — particularly vulnerable, self-represented, and disabled individuals — receive a procedurally fair hearing as guaranteed by section 34 of the Constitution of the Republic of South Africa, 1996.</w:t>
      </w:r>
    </w:p>
    <w:p>
      <w:pPr>
        <w:spacing w:before="60" w:after="60"/>
        <w:jc w:val="both"/>
      </w:pPr>
      <w:r>
        <w:rPr>
          <w:rFonts w:ascii="Arial" w:cs="Arial" w:eastAsia="Arial" w:hAnsi="Arial"/>
          <w:b w:val="false"/>
          <w:bCs w:val="false"/>
          <w:i w:val="false"/>
          <w:iCs w:val="false"/>
          <w:sz w:val="22"/>
          <w:szCs w:val="22"/>
        </w:rPr>
        <w:t xml:space="preserve">The Applicant respectfully submits that the hearing conducted on 25 March 2026 in Case HCGS950121 was procedurally irregular in three distinct and independently material respects, which together rendered the hearing, in substance, a nullity. The Applicant does not impugn the integrity of the presiding Judge. The purpose of this Memorandum is to place the procedural facts on record with the supervisory authority of this Division and to request appropriate administrative intervention.</w:t>
      </w:r>
    </w:p>
    <w:p>
      <w:pPr>
        <w:spacing w:before="120" w:after="120"/>
      </w:pPr>
      <w:r>
        <w:t xml:space="preserve"/>
      </w:r>
    </w:p>
    <w:p>
      <w:pPr>
        <w:spacing w:before="280" w:after="120"/>
      </w:pPr>
      <w:r>
        <w:rPr>
          <w:rFonts w:ascii="Arial" w:cs="Arial" w:eastAsia="Arial" w:hAnsi="Arial"/>
          <w:b/>
          <w:bCs/>
          <w:color w:val="1A3C5E"/>
          <w:sz w:val="28"/>
          <w:szCs w:val="28"/>
        </w:rPr>
        <w:t xml:space="preserve">2. BACKGROUND</w:t>
      </w:r>
    </w:p>
    <w:p>
      <w:pPr>
        <w:spacing w:before="60" w:after="60"/>
        <w:jc w:val="both"/>
      </w:pPr>
      <w:r>
        <w:rPr>
          <w:rFonts w:ascii="Arial" w:cs="Arial" w:eastAsia="Arial" w:hAnsi="Arial"/>
          <w:b w:val="false"/>
          <w:bCs w:val="false"/>
          <w:i w:val="false"/>
          <w:iCs w:val="false"/>
          <w:sz w:val="22"/>
          <w:szCs w:val="22"/>
        </w:rPr>
        <w:t xml:space="preserve">The Applicant, a Registered Nurse and forensic governance consultant, filed an urgent application on 18 March 2026 under Section 162 of the Companies Act 71 of 2008 seeking a declaration of director delinquency against five individual respondents and AfroCentric Investment Corporation Limited. The matter arose from the suppression of a P1 Material Risk Report submitted on 9 December 2025, a constructive dismissal, and imminent homelessness facing the Applicant on 31 March 2026.</w:t>
      </w:r>
    </w:p>
    <w:p>
      <w:pPr>
        <w:spacing w:before="60" w:after="60"/>
        <w:jc w:val="both"/>
      </w:pPr>
      <w:r>
        <w:rPr>
          <w:rFonts w:ascii="Arial" w:cs="Arial" w:eastAsia="Arial" w:hAnsi="Arial"/>
          <w:b w:val="false"/>
          <w:bCs w:val="false"/>
          <w:i w:val="false"/>
          <w:iCs w:val="false"/>
          <w:sz w:val="22"/>
          <w:szCs w:val="22"/>
        </w:rPr>
        <w:t xml:space="preserve">The matter was set down on the urgent roll for 25 March 2026 at 10:00 AM. The outcome was a striking of the matter from the urgent roll with a Scale C costs order — the highest punitive scale available under the Magistrate's and Superior Courts tariff structures.</w:t>
      </w:r>
    </w:p>
    <w:p>
      <w:pPr>
        <w:spacing w:before="120" w:after="120"/>
      </w:pPr>
      <w:r>
        <w:t xml:space="preserve"/>
      </w:r>
    </w:p>
    <w:p>
      <w:pPr>
        <w:spacing w:before="280" w:after="120"/>
      </w:pPr>
      <w:r>
        <w:rPr>
          <w:rFonts w:ascii="Arial" w:cs="Arial" w:eastAsia="Arial" w:hAnsi="Arial"/>
          <w:b/>
          <w:bCs/>
          <w:color w:val="1A3C5E"/>
          <w:sz w:val="28"/>
          <w:szCs w:val="28"/>
        </w:rPr>
        <w:t xml:space="preserve">3. PARTICULARS OF PROCEDURAL IRREGULARITY</w:t>
      </w:r>
    </w:p>
    <w:p>
      <w:pPr>
        <w:spacing w:before="200" w:after="80"/>
      </w:pPr>
      <w:r>
        <w:rPr>
          <w:rFonts w:ascii="Arial" w:cs="Arial" w:eastAsia="Arial" w:hAnsi="Arial"/>
          <w:b/>
          <w:bCs/>
          <w:color w:val="1A3C5E"/>
          <w:sz w:val="24"/>
          <w:szCs w:val="24"/>
        </w:rPr>
        <w:t xml:space="preserve">3.1 Unauthorized Third-Party Intervention — The "Procedural Hijacking"</w:t>
      </w:r>
    </w:p>
    <w:p>
      <w:pPr>
        <w:spacing w:before="60" w:after="60"/>
        <w:jc w:val="both"/>
      </w:pPr>
      <w:r>
        <w:rPr>
          <w:rFonts w:ascii="Arial" w:cs="Arial" w:eastAsia="Arial" w:hAnsi="Arial"/>
          <w:b w:val="false"/>
          <w:bCs w:val="false"/>
          <w:i w:val="false"/>
          <w:iCs w:val="false"/>
          <w:sz w:val="22"/>
          <w:szCs w:val="22"/>
        </w:rPr>
        <w:t xml:space="preserve">At or immediately prior to the commencement of the hearing, an individual who was unknown to the Applicant and who had no mandate, brief, or authority from the Applicant — and who, upon the Applicant's observation, appeared to be unwell — presented themselves to the Court in a manner that conveyed to the presiding Judge that this individual was appearing in a representative capacity on behalf of the Applicant.</w:t>
      </w:r>
    </w:p>
    <w:p>
      <w:pPr>
        <w:spacing w:before="60" w:after="60"/>
        <w:jc w:val="both"/>
      </w:pPr>
      <w:r>
        <w:rPr>
          <w:rFonts w:ascii="Arial" w:cs="Arial" w:eastAsia="Arial" w:hAnsi="Arial"/>
          <w:b w:val="false"/>
          <w:bCs w:val="false"/>
          <w:i w:val="false"/>
          <w:iCs w:val="false"/>
          <w:sz w:val="22"/>
          <w:szCs w:val="22"/>
        </w:rPr>
        <w:t xml:space="preserve">The following facts are placed on record:</w:t>
      </w:r>
    </w:p>
    <w:p>
      <w:pPr>
        <w:pStyle w:val="ListParagraph"/>
        <w:numPr>
          <w:ilvl w:val="0"/>
          <w:numId w:val="2"/>
        </w:numPr>
        <w:spacing w:before="60" w:after="60"/>
      </w:pPr>
      <w:r>
        <w:rPr>
          <w:rFonts w:ascii="Arial" w:cs="Arial" w:eastAsia="Arial" w:hAnsi="Arial"/>
          <w:sz w:val="22"/>
          <w:szCs w:val="22"/>
        </w:rPr>
        <w:t xml:space="preserve">The Applicant did not instruct, brief, or authorize any person to appear on his behalf;</w:t>
      </w:r>
    </w:p>
    <w:p>
      <w:pPr>
        <w:pStyle w:val="ListParagraph"/>
        <w:numPr>
          <w:ilvl w:val="0"/>
          <w:numId w:val="2"/>
        </w:numPr>
        <w:spacing w:before="60" w:after="60"/>
      </w:pPr>
      <w:r>
        <w:rPr>
          <w:rFonts w:ascii="Arial" w:cs="Arial" w:eastAsia="Arial" w:hAnsi="Arial"/>
          <w:sz w:val="22"/>
          <w:szCs w:val="22"/>
        </w:rPr>
        <w:t xml:space="preserve">The Applicant was present in court and did raise, or attempted to raise, his objection to this individual's unauthorized participation;</w:t>
      </w:r>
    </w:p>
    <w:p>
      <w:pPr>
        <w:pStyle w:val="ListParagraph"/>
        <w:numPr>
          <w:ilvl w:val="0"/>
          <w:numId w:val="2"/>
        </w:numPr>
        <w:spacing w:before="60" w:after="60"/>
      </w:pPr>
      <w:r>
        <w:rPr>
          <w:rFonts w:ascii="Arial" w:cs="Arial" w:eastAsia="Arial" w:hAnsi="Arial"/>
          <w:sz w:val="22"/>
          <w:szCs w:val="22"/>
        </w:rPr>
        <w:t xml:space="preserve">The Court permitted this individual to remain in a position that, in effect, displaced the Applicant as the presenting party — notwithstanding that the Applicant is a pro se litigant with the absolute right to conduct his own matter;</w:t>
      </w:r>
    </w:p>
    <w:p>
      <w:pPr>
        <w:pStyle w:val="ListParagraph"/>
        <w:numPr>
          <w:ilvl w:val="0"/>
          <w:numId w:val="2"/>
        </w:numPr>
        <w:spacing w:before="60" w:after="60"/>
      </w:pPr>
      <w:r>
        <w:rPr>
          <w:rFonts w:ascii="Arial" w:cs="Arial" w:eastAsia="Arial" w:hAnsi="Arial"/>
          <w:sz w:val="22"/>
          <w:szCs w:val="22"/>
        </w:rPr>
        <w:t xml:space="preserve">As a consequence, this unauthorized individual made representations — or failed to make adequate representations — in a manner that did not reflect the Applicant's instructions, strategy, or legal arguments.</w:t>
      </w:r>
    </w:p>
    <w:p>
      <w:pPr>
        <w:spacing w:before="60" w:after="60"/>
        <w:jc w:val="both"/>
      </w:pPr>
      <w:r>
        <w:rPr>
          <w:rFonts w:ascii="Arial" w:cs="Arial" w:eastAsia="Arial" w:hAnsi="Arial"/>
          <w:b w:val="false"/>
          <w:bCs w:val="false"/>
          <w:i w:val="false"/>
          <w:iCs w:val="false"/>
          <w:sz w:val="22"/>
          <w:szCs w:val="22"/>
        </w:rPr>
        <w:t xml:space="preserve">This constitutes what the Applicant describes as a "procedural hijacking" of the hearing. In substance, the Applicant was denied the right to present his own case.</w:t>
      </w:r>
    </w:p>
    <w:p>
      <w:pPr>
        <w:spacing w:before="120" w:after="120"/>
      </w:pPr>
      <w:r>
        <w:t xml:space="preserve"/>
      </w:r>
    </w:p>
    <w:p>
      <w:pPr>
        <w:spacing w:before="200" w:after="80"/>
      </w:pPr>
      <w:r>
        <w:rPr>
          <w:rFonts w:ascii="Arial" w:cs="Arial" w:eastAsia="Arial" w:hAnsi="Arial"/>
          <w:b/>
          <w:bCs/>
          <w:color w:val="1A3C5E"/>
          <w:sz w:val="24"/>
          <w:szCs w:val="24"/>
        </w:rPr>
        <w:t xml:space="preserve">3.2 Failure to Accommodate a Disabled and Vulnerable Litigant</w:t>
      </w:r>
    </w:p>
    <w:p>
      <w:pPr>
        <w:spacing w:before="60" w:after="60"/>
        <w:jc w:val="both"/>
      </w:pPr>
      <w:r>
        <w:rPr>
          <w:rFonts w:ascii="Arial" w:cs="Arial" w:eastAsia="Arial" w:hAnsi="Arial"/>
          <w:b w:val="false"/>
          <w:bCs w:val="false"/>
          <w:i w:val="false"/>
          <w:iCs w:val="false"/>
          <w:sz w:val="22"/>
          <w:szCs w:val="22"/>
        </w:rPr>
        <w:t xml:space="preserve">The Applicant placed on the record, at the outset of the proceedings:</w:t>
      </w:r>
    </w:p>
    <w:p>
      <w:pPr>
        <w:pStyle w:val="ListParagraph"/>
        <w:numPr>
          <w:ilvl w:val="0"/>
          <w:numId w:val="2"/>
        </w:numPr>
        <w:spacing w:before="60" w:after="60"/>
      </w:pPr>
      <w:r>
        <w:rPr>
          <w:rFonts w:ascii="Arial" w:cs="Arial" w:eastAsia="Arial" w:hAnsi="Arial"/>
          <w:sz w:val="22"/>
          <w:szCs w:val="22"/>
        </w:rPr>
        <w:t xml:space="preserve">His diagnosis of Post-Traumatic Stress Disorder (PTSD), a recognized disability within the meaning of Schedule 1 of the Employment Equity Act 55 of 1998 and under the international clinical framework applied by South African medical practitioners;</w:t>
      </w:r>
    </w:p>
    <w:p>
      <w:pPr>
        <w:pStyle w:val="ListParagraph"/>
        <w:numPr>
          <w:ilvl w:val="0"/>
          <w:numId w:val="2"/>
        </w:numPr>
        <w:spacing w:before="60" w:after="60"/>
      </w:pPr>
      <w:r>
        <w:rPr>
          <w:rFonts w:ascii="Arial" w:cs="Arial" w:eastAsia="Arial" w:hAnsi="Arial"/>
          <w:sz w:val="22"/>
          <w:szCs w:val="22"/>
        </w:rPr>
        <w:t xml:space="preserve">His reliance on written notes as an accommodation mechanism necessary to maintain coherent, accurate, and structured oral participation in high-pressure proceedings;</w:t>
      </w:r>
    </w:p>
    <w:p>
      <w:pPr>
        <w:pStyle w:val="ListParagraph"/>
        <w:numPr>
          <w:ilvl w:val="0"/>
          <w:numId w:val="2"/>
        </w:numPr>
        <w:spacing w:before="60" w:after="60"/>
      </w:pPr>
      <w:r>
        <w:rPr>
          <w:rFonts w:ascii="Arial" w:cs="Arial" w:eastAsia="Arial" w:hAnsi="Arial"/>
          <w:sz w:val="22"/>
          <w:szCs w:val="22"/>
        </w:rPr>
        <w:t xml:space="preserve">His request that this context be taken into account by the Court in the conduct of the hearing.</w:t>
      </w:r>
    </w:p>
    <w:p>
      <w:pPr>
        <w:spacing w:before="60" w:after="60"/>
        <w:jc w:val="both"/>
      </w:pPr>
      <w:r>
        <w:rPr>
          <w:rFonts w:ascii="Arial" w:cs="Arial" w:eastAsia="Arial" w:hAnsi="Arial"/>
          <w:b w:val="false"/>
          <w:bCs w:val="false"/>
          <w:i w:val="false"/>
          <w:iCs w:val="false"/>
          <w:sz w:val="22"/>
          <w:szCs w:val="22"/>
        </w:rPr>
        <w:t xml:space="preserve">No accommodation was made by the Court. The hearing proceeded at a pace, and in a manner, that did not afford the Applicant — a disabled, self-represented individual — a genuine and equal opportunity to participate.</w:t>
      </w:r>
    </w:p>
    <w:p>
      <w:pPr>
        <w:spacing w:before="60" w:after="60"/>
        <w:jc w:val="both"/>
      </w:pPr>
      <w:r>
        <w:rPr>
          <w:rFonts w:ascii="Arial" w:cs="Arial" w:eastAsia="Arial" w:hAnsi="Arial"/>
          <w:b w:val="false"/>
          <w:bCs w:val="false"/>
          <w:i w:val="false"/>
          <w:iCs w:val="false"/>
          <w:sz w:val="22"/>
          <w:szCs w:val="22"/>
        </w:rPr>
        <w:t xml:space="preserve">The Constitutional Court has consistently affirmed that section 34 of the Constitution requires not merely the formal availability of a court, but a substantively fair opportunity to be heard. Where a litigant has disclosed a recognized disability, the duty of the Court to ensure procedural equity is heightened, not diminished. The Applicant respectfully submits that this duty was not discharged.</w:t>
      </w:r>
    </w:p>
    <w:p>
      <w:pPr>
        <w:spacing w:before="120" w:after="120"/>
      </w:pPr>
      <w:r>
        <w:t xml:space="preserve"/>
      </w:r>
    </w:p>
    <w:p>
      <w:pPr>
        <w:spacing w:before="200" w:after="80"/>
      </w:pPr>
      <w:r>
        <w:rPr>
          <w:rFonts w:ascii="Arial" w:cs="Arial" w:eastAsia="Arial" w:hAnsi="Arial"/>
          <w:b/>
          <w:bCs/>
          <w:color w:val="1A3C5E"/>
          <w:sz w:val="24"/>
          <w:szCs w:val="24"/>
        </w:rPr>
        <w:t xml:space="preserve">3.3 The Combined Effect — A Hearing in Name Only</w:t>
      </w:r>
    </w:p>
    <w:p>
      <w:pPr>
        <w:spacing w:before="60" w:after="60"/>
        <w:jc w:val="both"/>
      </w:pPr>
      <w:r>
        <w:rPr>
          <w:rFonts w:ascii="Arial" w:cs="Arial" w:eastAsia="Arial" w:hAnsi="Arial"/>
          <w:b w:val="false"/>
          <w:bCs w:val="false"/>
          <w:i w:val="false"/>
          <w:iCs w:val="false"/>
          <w:sz w:val="22"/>
          <w:szCs w:val="22"/>
        </w:rPr>
        <w:t xml:space="preserve">The Applicant submits that the cumulative effect of sections 3.1 and 3.2 above is that the hearing of 25 March 2026, while formally conducted, was in substance a proceeding in which:</w:t>
      </w:r>
    </w:p>
    <w:p>
      <w:pPr>
        <w:pStyle w:val="ListParagraph"/>
        <w:numPr>
          <w:ilvl w:val="0"/>
          <w:numId w:val="2"/>
        </w:numPr>
        <w:spacing w:before="60" w:after="60"/>
      </w:pPr>
      <w:r>
        <w:rPr>
          <w:rFonts w:ascii="Arial" w:cs="Arial" w:eastAsia="Arial" w:hAnsi="Arial"/>
          <w:sz w:val="22"/>
          <w:szCs w:val="22"/>
        </w:rPr>
        <w:t xml:space="preserve">The Applicant was not meaningfully heard;</w:t>
      </w:r>
    </w:p>
    <w:p>
      <w:pPr>
        <w:pStyle w:val="ListParagraph"/>
        <w:numPr>
          <w:ilvl w:val="0"/>
          <w:numId w:val="2"/>
        </w:numPr>
        <w:spacing w:before="60" w:after="60"/>
      </w:pPr>
      <w:r>
        <w:rPr>
          <w:rFonts w:ascii="Arial" w:cs="Arial" w:eastAsia="Arial" w:hAnsi="Arial"/>
          <w:sz w:val="22"/>
          <w:szCs w:val="22"/>
        </w:rPr>
        <w:t xml:space="preserve">The Applicant was not given a substantive opportunity to respond to the urgency and costs arguments advanced by the Respondents' Senior Counsel;</w:t>
      </w:r>
    </w:p>
    <w:p>
      <w:pPr>
        <w:pStyle w:val="ListParagraph"/>
        <w:numPr>
          <w:ilvl w:val="0"/>
          <w:numId w:val="2"/>
        </w:numPr>
        <w:spacing w:before="60" w:after="60"/>
      </w:pPr>
      <w:r>
        <w:rPr>
          <w:rFonts w:ascii="Arial" w:cs="Arial" w:eastAsia="Arial" w:hAnsi="Arial"/>
          <w:sz w:val="22"/>
          <w:szCs w:val="22"/>
        </w:rPr>
        <w:t xml:space="preserve">The Scale C costs order was made against a disabled, destitute, pro se whistleblower who had effectively been silenced by a combination of unauthorized third-party intervention and the Court's failure to accommodate his disability.</w:t>
      </w:r>
    </w:p>
    <w:p>
      <w:pPr>
        <w:spacing w:before="60" w:after="60"/>
        <w:jc w:val="both"/>
      </w:pPr>
      <w:r>
        <w:rPr>
          <w:rFonts w:ascii="Arial" w:cs="Arial" w:eastAsia="Arial" w:hAnsi="Arial"/>
          <w:b w:val="false"/>
          <w:bCs w:val="false"/>
          <w:i w:val="false"/>
          <w:iCs w:val="false"/>
          <w:sz w:val="22"/>
          <w:szCs w:val="22"/>
        </w:rPr>
        <w:t xml:space="preserve">The Applicant does not make this submission lightly. He is acutely aware of the gravity of directing a formal complaint to the Judge President. He does so because the constitutional stakes — access to justice, the right to a fair hearing, and the protection of whistleblowers — demand it.</w:t>
      </w:r>
    </w:p>
    <w:p>
      <w:pPr>
        <w:spacing w:before="120" w:after="120"/>
      </w:pPr>
      <w:r>
        <w:t xml:space="preserve"/>
      </w:r>
    </w:p>
    <w:p>
      <w:pPr>
        <w:spacing w:before="280" w:after="120"/>
      </w:pPr>
      <w:r>
        <w:rPr>
          <w:rFonts w:ascii="Arial" w:cs="Arial" w:eastAsia="Arial" w:hAnsi="Arial"/>
          <w:b/>
          <w:bCs/>
          <w:color w:val="1A3C5E"/>
          <w:sz w:val="28"/>
          <w:szCs w:val="28"/>
        </w:rPr>
        <w:t xml:space="preserve">4. RELIEF REQUESTED</w:t>
      </w:r>
    </w:p>
    <w:p>
      <w:pPr>
        <w:spacing w:before="60" w:after="60"/>
        <w:jc w:val="both"/>
      </w:pPr>
      <w:r>
        <w:rPr>
          <w:rFonts w:ascii="Arial" w:cs="Arial" w:eastAsia="Arial" w:hAnsi="Arial"/>
          <w:b w:val="false"/>
          <w:bCs w:val="false"/>
          <w:i w:val="false"/>
          <w:iCs w:val="false"/>
          <w:sz w:val="22"/>
          <w:szCs w:val="22"/>
        </w:rPr>
        <w:t xml:space="preserve">The Applicant respectfully requests that Your Lordship/Ladyship:</w:t>
      </w:r>
    </w:p>
    <w:p>
      <w:pPr>
        <w:pStyle w:val="ListParagraph"/>
        <w:numPr>
          <w:ilvl w:val="0"/>
          <w:numId w:val="2"/>
        </w:numPr>
        <w:spacing w:before="60" w:after="60"/>
      </w:pPr>
      <w:r>
        <w:rPr>
          <w:rFonts w:ascii="Arial" w:cs="Arial" w:eastAsia="Arial" w:hAnsi="Arial"/>
          <w:sz w:val="22"/>
          <w:szCs w:val="22"/>
        </w:rPr>
        <w:t xml:space="preserve">Take note of the procedural irregularities documented in this Memorandum;</w:t>
      </w:r>
    </w:p>
    <w:p>
      <w:pPr>
        <w:pStyle w:val="ListParagraph"/>
        <w:numPr>
          <w:ilvl w:val="0"/>
          <w:numId w:val="2"/>
        </w:numPr>
        <w:spacing w:before="60" w:after="60"/>
      </w:pPr>
      <w:r>
        <w:rPr>
          <w:rFonts w:ascii="Arial" w:cs="Arial" w:eastAsia="Arial" w:hAnsi="Arial"/>
          <w:sz w:val="22"/>
          <w:szCs w:val="22"/>
        </w:rPr>
        <w:t xml:space="preserve">Cause an inquiry to be conducted into the circumstances of the hearing of 25 March 2026 in Case HCGS950121, with specific reference to: (a) the identity and authority of the unauthorized third party; (b) the adequacy of the Court's response to the Applicant's disclosed disability; and (c) the procedural regularity of the proceedings;</w:t>
      </w:r>
    </w:p>
    <w:p>
      <w:pPr>
        <w:pStyle w:val="ListParagraph"/>
        <w:numPr>
          <w:ilvl w:val="0"/>
          <w:numId w:val="2"/>
        </w:numPr>
        <w:spacing w:before="60" w:after="60"/>
      </w:pPr>
      <w:r>
        <w:rPr>
          <w:rFonts w:ascii="Arial" w:cs="Arial" w:eastAsia="Arial" w:hAnsi="Arial"/>
          <w:sz w:val="22"/>
          <w:szCs w:val="22"/>
        </w:rPr>
        <w:t xml:space="preserve">Direct, if Your Lordship/Ladyship deems it appropriate, that the Scale C costs order be reconsidered in light of the procedural irregularities and the Biowatch principle applicable to public interest whistleblower litigation;</w:t>
      </w:r>
    </w:p>
    <w:p>
      <w:pPr>
        <w:pStyle w:val="ListParagraph"/>
        <w:numPr>
          <w:ilvl w:val="0"/>
          <w:numId w:val="2"/>
        </w:numPr>
        <w:spacing w:before="60" w:after="60"/>
      </w:pPr>
      <w:r>
        <w:rPr>
          <w:rFonts w:ascii="Arial" w:cs="Arial" w:eastAsia="Arial" w:hAnsi="Arial"/>
          <w:sz w:val="22"/>
          <w:szCs w:val="22"/>
        </w:rPr>
        <w:t xml:space="preserve">Ensure that, in the event this matter is re-enrolled, the Applicant's disability and pro se status are recorded and appropriately accommodated from the outset.</w:t>
      </w:r>
    </w:p>
    <w:p>
      <w:pPr>
        <w:spacing w:before="120" w:after="120"/>
      </w:pPr>
      <w:r>
        <w:t xml:space="preserve"/>
      </w:r>
    </w:p>
    <w:p>
      <w:pPr>
        <w:spacing w:before="280" w:after="120"/>
      </w:pPr>
      <w:r>
        <w:rPr>
          <w:rFonts w:ascii="Arial" w:cs="Arial" w:eastAsia="Arial" w:hAnsi="Arial"/>
          <w:b/>
          <w:bCs/>
          <w:color w:val="1A3C5E"/>
          <w:sz w:val="28"/>
          <w:szCs w:val="28"/>
        </w:rPr>
        <w:t xml:space="preserve">5. CONCLUSION</w:t>
      </w:r>
    </w:p>
    <w:p>
      <w:pPr>
        <w:spacing w:before="60" w:after="60"/>
        <w:jc w:val="both"/>
      </w:pPr>
      <w:r>
        <w:rPr>
          <w:rFonts w:ascii="Arial" w:cs="Arial" w:eastAsia="Arial" w:hAnsi="Arial"/>
          <w:b w:val="false"/>
          <w:bCs w:val="false"/>
          <w:i w:val="false"/>
          <w:iCs w:val="false"/>
          <w:sz w:val="22"/>
          <w:szCs w:val="22"/>
        </w:rPr>
        <w:t xml:space="preserve">The Applicant has pursued this litigation transparently, on the public record, and at great personal cost. He filed a P1 Material Risk Report. He reported to the B-BBEE Commission, the SAHRC, the JSE, the FSCA, the Department of Employment and Labour, and the Council for Medical Schemes. He came to this Court not as a disgruntled former employee, but as a whistleblower seeking accountability for a governance failure that continues to harm employees, medical scheme members, and the investing public.</w:t>
      </w:r>
    </w:p>
    <w:p>
      <w:pPr>
        <w:spacing w:before="60" w:after="60"/>
        <w:jc w:val="both"/>
      </w:pPr>
      <w:r>
        <w:rPr>
          <w:rFonts w:ascii="Arial" w:cs="Arial" w:eastAsia="Arial" w:hAnsi="Arial"/>
          <w:b w:val="false"/>
          <w:bCs w:val="false"/>
          <w:i w:val="false"/>
          <w:iCs w:val="false"/>
          <w:sz w:val="22"/>
          <w:szCs w:val="22"/>
        </w:rPr>
        <w:t xml:space="preserve">To have been silenced at the moment of hearing — through unauthorized intervention and inadequate accommodation — and then to have been visited with the highest punitive costs order is an outcome that, the Applicant respectfully submits, requires urgent supervisory attention from the senior judiciary of this Division.</w:t>
      </w:r>
    </w:p>
    <w:p>
      <w:pPr>
        <w:spacing w:before="240" w:after="240"/>
      </w:pPr>
      <w:r>
        <w:t xml:space="preserve"/>
      </w:r>
    </w:p>
    <w:p>
      <w:pPr>
        <w:pBdr>
          <w:bottom w:val="single" w:color="1A3C5E" w:sz="6" w:space="1"/>
        </w:pBdr>
        <w:spacing w:before="80" w:after="80"/>
      </w:pPr>
      <w:r>
        <w:t xml:space="preserve"/>
      </w:r>
    </w:p>
    <w:p>
      <w:pPr>
        <w:spacing w:before="160" w:after="160"/>
      </w:pPr>
      <w:r>
        <w:t xml:space="preserve"/>
      </w:r>
    </w:p>
    <w:p>
      <w:pPr>
        <w:spacing w:before="60" w:after="80"/>
      </w:pPr>
      <w:r>
        <w:rPr>
          <w:rFonts w:ascii="Arial" w:cs="Arial" w:eastAsia="Arial" w:hAnsi="Arial"/>
          <w:i/>
          <w:iCs/>
          <w:sz w:val="22"/>
          <w:szCs w:val="22"/>
        </w:rPr>
        <w:t xml:space="preserve">Respectfully submitted,</w:t>
      </w:r>
    </w:p>
    <w:p>
      <w:pPr>
        <w:spacing w:before="60" w:after="40"/>
      </w:pPr>
      <w:r>
        <w:rPr>
          <w:rFonts w:ascii="Arial" w:cs="Arial" w:eastAsia="Arial" w:hAnsi="Arial"/>
          <w:b/>
          <w:bCs/>
          <w:sz w:val="22"/>
          <w:szCs w:val="22"/>
        </w:rPr>
        <w:t xml:space="preserve">WILBUR WILLIAM MATTHEE</w:t>
      </w:r>
    </w:p>
    <w:p>
      <w:pPr>
        <w:spacing w:before="0" w:after="40"/>
      </w:pPr>
      <w:r>
        <w:rPr>
          <w:rFonts w:ascii="Arial" w:cs="Arial" w:eastAsia="Arial" w:hAnsi="Arial"/>
          <w:i/>
          <w:iCs/>
          <w:sz w:val="22"/>
          <w:szCs w:val="22"/>
        </w:rPr>
        <w:t xml:space="preserve">Self-Represented Litigant | Registered Nurse | Forensic Governance Architect</w:t>
      </w:r>
    </w:p>
    <w:p>
      <w:pPr>
        <w:spacing w:before="0" w:after="40"/>
      </w:pPr>
      <w:r>
        <w:rPr>
          <w:rFonts w:ascii="Arial" w:cs="Arial" w:eastAsia="Arial" w:hAnsi="Arial"/>
          <w:sz w:val="22"/>
          <w:szCs w:val="22"/>
        </w:rPr>
        <w:t xml:space="preserve">EthicHawks — info@ethichawks.co.za</w:t>
      </w:r>
    </w:p>
    <w:p>
      <w:pPr>
        <w:spacing w:before="0" w:after="40"/>
      </w:pPr>
      <w:r>
        <w:rPr>
          <w:rFonts w:ascii="Arial" w:cs="Arial" w:eastAsia="Arial" w:hAnsi="Arial"/>
          <w:sz w:val="22"/>
          <w:szCs w:val="22"/>
        </w:rPr>
        <w:t xml:space="preserve">25 March 2026</w:t>
      </w:r>
    </w:p>
    <w:p>
      <w:pPr>
        <w:pBdr>
          <w:bottom w:val="single" w:color="1A3C5E" w:sz="6" w:space="1"/>
        </w:pBdr>
        <w:spacing w:before="80" w:after="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2026-03-25T18:13:37.659Z</dcterms:created>
  <dcterms:modified xsi:type="dcterms:W3CDTF">2026-03-25T18:13:37.659Z</dcterms:modified>
</cp:coreProperties>
</file>

<file path=docProps/custom.xml><?xml version="1.0" encoding="utf-8"?>
<Properties xmlns="http://schemas.openxmlformats.org/officeDocument/2006/custom-properties" xmlns:vt="http://schemas.openxmlformats.org/officeDocument/2006/docPropsVTypes"/>
</file>