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006B6B"/>
          <w:sz w:val="36"/>
          <w:szCs w:val="36"/>
        </w:rPr>
        <w:t xml:space="preserve">NHI ALIGNMENT STATEMENT</w:t>
      </w:r>
    </w:p>
    <w:p>
      <w:pPr>
        <w:spacing w:before="0" w:after="60"/>
        <w:jc w:val="center"/>
      </w:pPr>
      <w:r>
        <w:rPr>
          <w:rFonts w:ascii="Arial" w:cs="Arial" w:eastAsia="Arial" w:hAnsi="Arial"/>
          <w:i/>
          <w:iCs/>
          <w:color w:val="555555"/>
          <w:sz w:val="22"/>
          <w:szCs w:val="22"/>
        </w:rPr>
        <w:t xml:space="preserve">PalCare — Forensic Clinical Governance Infrastructure for the NHI Ecosystem</w:t>
      </w:r>
    </w:p>
    <w:p>
      <w:pPr>
        <w:spacing w:before="0" w:after="40"/>
        <w:jc w:val="center"/>
      </w:pPr>
      <w:r>
        <w:rPr>
          <w:rFonts w:ascii="Arial" w:cs="Arial" w:eastAsia="Arial" w:hAnsi="Arial"/>
          <w:color w:val="999999"/>
          <w:sz w:val="18"/>
          <w:szCs w:val="18"/>
        </w:rPr>
        <w:t xml:space="preserve">EthicHawks (Pty) Ltd  ·  Cape Town, South Africa</w:t>
      </w:r>
    </w:p>
    <w:p>
      <w:pPr>
        <w:spacing w:before="0" w:after="280"/>
        <w:jc w:val="center"/>
      </w:pPr>
      <w:r>
        <w:rPr>
          <w:rFonts w:ascii="Arial" w:cs="Arial" w:eastAsia="Arial" w:hAnsi="Arial"/>
          <w:i/>
          <w:iCs/>
          <w:color w:val="BBBBBB"/>
          <w:sz w:val="17"/>
          <w:szCs w:val="17"/>
        </w:rPr>
        <w:t xml:space="preserve">EthicHawks (Pty) Ltd  ·  April 2026  ·  Public Version</w:t>
      </w:r>
    </w:p>
    <w:p>
      <w:pPr>
        <w:spacing w:before="0" w:after="100"/>
        <w:jc w:val="left"/>
      </w:pPr>
      <w:r>
        <w:rPr>
          <w:rFonts w:ascii="Arial" w:cs="Arial" w:eastAsia="Arial" w:hAnsi="Arial"/>
          <w:b w:val="false"/>
          <w:bCs w:val="false"/>
          <w:i/>
          <w:iCs/>
          <w:color w:val="555555"/>
          <w:sz w:val="20"/>
          <w:szCs w:val="20"/>
        </w:rPr>
        <w:t xml:space="preserve">This statement is addressed to policymakers, accreditation bodies, private healthcare facilities, and parliamentary portfolio committees. It sets out the alignment between PalCare and the requirements of the National Health Insurance Act 20 of 2019 ("NHI Act").</w:t>
      </w:r>
    </w:p>
    <w:p>
      <w:pPr>
        <w:pBdr>
          <w:bottom w:val="single" w:color="006B6B" w:sz="3" w:space="2"/>
        </w:pBdr>
        <w:spacing w:before="280" w:after="80"/>
      </w:pPr>
      <w:r>
        <w:rPr>
          <w:rFonts w:ascii="Arial" w:cs="Arial" w:eastAsia="Arial" w:hAnsi="Arial"/>
          <w:b/>
          <w:bCs/>
          <w:color w:val="006B6B"/>
          <w:sz w:val="21"/>
          <w:szCs w:val="21"/>
        </w:rPr>
        <w:t xml:space="preserve">1.  </w:t>
      </w:r>
      <w:r>
        <w:rPr>
          <w:rFonts w:ascii="Arial" w:cs="Arial" w:eastAsia="Arial" w:hAnsi="Arial"/>
          <w:b/>
          <w:bCs/>
          <w:color w:val="006B6B"/>
          <w:sz w:val="21"/>
          <w:szCs w:val="21"/>
        </w:rPr>
        <w:t xml:space="preserve">THE NHI IMPERATIVE</w:t>
      </w:r>
    </w:p>
    <w:p>
      <w:pPr>
        <w:spacing w:before="60" w:after="60"/>
        <w:jc w:val="left"/>
      </w:pPr>
      <w:r>
        <w:rPr>
          <w:rFonts w:ascii="Arial" w:cs="Arial" w:eastAsia="Arial" w:hAnsi="Arial"/>
          <w:b w:val="false"/>
          <w:bCs w:val="false"/>
          <w:i w:val="false"/>
          <w:iCs w:val="false"/>
          <w:color w:val="1A1A1A"/>
          <w:sz w:val="20"/>
          <w:szCs w:val="20"/>
        </w:rPr>
        <w:t xml:space="preserve">The NHI Act fundamentally restructures accountability in South African healthcare. Under the NHI, providers seeking accreditation by the NHI Fund must demonstrate the capacity to:</w:t>
      </w:r>
    </w:p>
    <w:p>
      <w:pPr>
        <w:pStyle w:val="ListParagraph"/>
        <w:numPr>
          <w:ilvl w:val="0"/>
          <w:numId w:val="2"/>
        </w:numPr>
        <w:spacing w:before="40" w:after="40"/>
      </w:pPr>
      <w:r>
        <w:rPr>
          <w:rFonts w:ascii="Arial" w:cs="Arial" w:eastAsia="Arial" w:hAnsi="Arial"/>
          <w:color w:val="1A1A1A"/>
          <w:sz w:val="20"/>
          <w:szCs w:val="20"/>
        </w:rPr>
        <w:t xml:space="preserve">Maintain accurate, real-time clinical records;</w:t>
      </w:r>
    </w:p>
    <w:p>
      <w:pPr>
        <w:pStyle w:val="ListParagraph"/>
        <w:numPr>
          <w:ilvl w:val="0"/>
          <w:numId w:val="2"/>
        </w:numPr>
        <w:spacing w:before="40" w:after="40"/>
      </w:pPr>
      <w:r>
        <w:rPr>
          <w:rFonts w:ascii="Arial" w:cs="Arial" w:eastAsia="Arial" w:hAnsi="Arial"/>
          <w:color w:val="1A1A1A"/>
          <w:sz w:val="20"/>
          <w:szCs w:val="20"/>
        </w:rPr>
        <w:t xml:space="preserve">Produce audit-ready documentation on demand;</w:t>
      </w:r>
    </w:p>
    <w:p>
      <w:pPr>
        <w:pStyle w:val="ListParagraph"/>
        <w:numPr>
          <w:ilvl w:val="0"/>
          <w:numId w:val="2"/>
        </w:numPr>
        <w:spacing w:before="40" w:after="40"/>
      </w:pPr>
      <w:r>
        <w:rPr>
          <w:rFonts w:ascii="Arial" w:cs="Arial" w:eastAsia="Arial" w:hAnsi="Arial"/>
          <w:color w:val="1A1A1A"/>
          <w:sz w:val="20"/>
          <w:szCs w:val="20"/>
        </w:rPr>
        <w:t xml:space="preserve">Comply with POPIA in the processing of patient data;</w:t>
      </w:r>
    </w:p>
    <w:p>
      <w:pPr>
        <w:pStyle w:val="ListParagraph"/>
        <w:numPr>
          <w:ilvl w:val="0"/>
          <w:numId w:val="2"/>
        </w:numPr>
        <w:spacing w:before="40" w:after="40"/>
      </w:pPr>
      <w:r>
        <w:rPr>
          <w:rFonts w:ascii="Arial" w:cs="Arial" w:eastAsia="Arial" w:hAnsi="Arial"/>
          <w:color w:val="1A1A1A"/>
          <w:sz w:val="20"/>
          <w:szCs w:val="20"/>
        </w:rPr>
        <w:t xml:space="preserve">Integrate with interoperable health information systems;</w:t>
      </w:r>
    </w:p>
    <w:p>
      <w:pPr>
        <w:pStyle w:val="ListParagraph"/>
        <w:numPr>
          <w:ilvl w:val="0"/>
          <w:numId w:val="2"/>
        </w:numPr>
        <w:spacing w:before="40" w:after="40"/>
      </w:pPr>
      <w:r>
        <w:rPr>
          <w:rFonts w:ascii="Arial" w:cs="Arial" w:eastAsia="Arial" w:hAnsi="Arial"/>
          <w:color w:val="1A1A1A"/>
          <w:sz w:val="20"/>
          <w:szCs w:val="20"/>
        </w:rPr>
        <w:t xml:space="preserve">Report on quality indicators, clinical outcomes, and resource utilisation.</w:t>
      </w:r>
    </w:p>
    <w:p>
      <w:pPr>
        <w:spacing w:before="80" w:after="80"/>
        <w:jc w:val="left"/>
      </w:pPr>
      <w:r>
        <w:rPr>
          <w:rFonts w:ascii="Arial" w:cs="Arial" w:eastAsia="Arial" w:hAnsi="Arial"/>
          <w:b w:val="false"/>
          <w:bCs w:val="false"/>
          <w:i w:val="false"/>
          <w:iCs w:val="false"/>
          <w:color w:val="1A1A1A"/>
          <w:sz w:val="20"/>
          <w:szCs w:val="20"/>
        </w:rPr>
        <w:t xml:space="preserve">For the majority of South Africa's 1,200+ hospice and palliative care facilities, these requirements represent a structural challenge that paper-based and fragmented digital systems cannot meet. PalCare is built to close that gap.</w:t>
      </w:r>
    </w:p>
    <w:p>
      <w:pPr>
        <w:pBdr>
          <w:bottom w:val="single" w:color="006B6B" w:sz="3" w:space="2"/>
        </w:pBdr>
        <w:spacing w:before="280" w:after="80"/>
      </w:pPr>
      <w:r>
        <w:rPr>
          <w:rFonts w:ascii="Arial" w:cs="Arial" w:eastAsia="Arial" w:hAnsi="Arial"/>
          <w:b/>
          <w:bCs/>
          <w:color w:val="006B6B"/>
          <w:sz w:val="21"/>
          <w:szCs w:val="21"/>
        </w:rPr>
        <w:t xml:space="preserve">2.  </w:t>
      </w:r>
      <w:r>
        <w:rPr>
          <w:rFonts w:ascii="Arial" w:cs="Arial" w:eastAsia="Arial" w:hAnsi="Arial"/>
          <w:b/>
          <w:bCs/>
          <w:color w:val="006B6B"/>
          <w:sz w:val="21"/>
          <w:szCs w:val="21"/>
        </w:rPr>
        <w:t xml:space="preserve">PALCARE'S NHI ALIGNMENT — FUNCTIONAL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pPr>
              <w:spacing w:before="0" w:after="0"/>
              <w:jc w:val="left"/>
            </w:pPr>
            <w:r>
              <w:rPr>
                <w:rFonts w:ascii="Arial" w:cs="Arial" w:eastAsia="Arial" w:hAnsi="Arial"/>
                <w:b/>
                <w:bCs/>
                <w:i w:val="false"/>
                <w:iCs w:val="false"/>
                <w:color w:val="FFFFFF"/>
                <w:sz w:val="19"/>
                <w:szCs w:val="19"/>
              </w:rPr>
              <w:t xml:space="preserve">NHI Act Requirement</w:t>
            </w:r>
          </w:p>
        </w:tc>
        <w:tc>
          <w:tcPr>
            <w:tcW w:type="dxa" w:w="53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pPr>
              <w:spacing w:before="0" w:after="0"/>
              <w:jc w:val="left"/>
            </w:pPr>
            <w:r>
              <w:rPr>
                <w:rFonts w:ascii="Arial" w:cs="Arial" w:eastAsia="Arial" w:hAnsi="Arial"/>
                <w:b/>
                <w:bCs/>
                <w:i w:val="false"/>
                <w:iCs w:val="false"/>
                <w:color w:val="FFFFFF"/>
                <w:sz w:val="19"/>
                <w:szCs w:val="19"/>
              </w:rPr>
              <w:t xml:space="preserve">PalCare Capability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Patient registration and identification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Real-time patient registration with identity verification and clinical intake workflow</w:t>
            </w:r>
          </w:p>
        </w:tc>
      </w:tr>
      <w:tr>
        <w:tc>
          <w:tcPr>
            <w:tcW w:type="dxa" w:w="4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Unified patient record</w:t>
            </w:r>
          </w:p>
        </w:tc>
        <w:tc>
          <w:tcPr>
            <w:tcW w:type="dxa" w:w="53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Single longitudinal clinical record covering all interactions, scripts, and care decisions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Prescription management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Digital prescription generation, dose tracking, and adjustment history with immutable audit trail</w:t>
            </w:r>
          </w:p>
        </w:tc>
      </w:tr>
      <w:tr>
        <w:tc>
          <w:tcPr>
            <w:tcW w:type="dxa" w:w="4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Billing code compliance</w:t>
            </w:r>
          </w:p>
        </w:tc>
        <w:tc>
          <w:tcPr>
            <w:tcW w:type="dxa" w:w="53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ICD-10 and NHI billing code integration with gatekeeping workflow and exception logging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Consumables and resource management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Real-time consumables tracking, mileage capture, and inventory management</w:t>
            </w:r>
          </w:p>
        </w:tc>
      </w:tr>
      <w:tr>
        <w:tc>
          <w:tcPr>
            <w:tcW w:type="dxa" w:w="4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Audit-ready reporting</w:t>
            </w:r>
          </w:p>
        </w:tc>
        <w:tc>
          <w:tcPr>
            <w:tcW w:type="dxa" w:w="53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Automated weekly audit reports; monthly summaries; export-ready for NHI Fund submission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POPIA compliance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Full POPIA operator framework with processing agreements, consent management, and breach response</w:t>
            </w:r>
          </w:p>
        </w:tc>
      </w:tr>
      <w:tr>
        <w:tc>
          <w:tcPr>
            <w:tcW w:type="dxa" w:w="40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Interoperability</w:t>
            </w:r>
          </w:p>
        </w:tc>
        <w:tc>
          <w:tcPr>
            <w:tcW w:type="dxa" w:w="53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API-ready architecture designed for HL7 FHIR integration with national health information systems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8"/>
                <w:szCs w:val="18"/>
              </w:rPr>
              <w:t xml:space="preserve">Quality indicator reporting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8"/>
                <w:szCs w:val="18"/>
              </w:rPr>
              <w:t xml:space="preserve">Configurable KPI dashboards aligned to NHI accreditation quality standards</w:t>
            </w:r>
          </w:p>
        </w:tc>
      </w:tr>
    </w:tbl>
    <w:p>
      <w:pPr>
        <w:spacing w:before="80" w:after="80"/>
      </w:pPr>
      <w:r>
        <w:t xml:space="preserve"/>
      </w:r>
    </w:p>
    <w:p>
      <w:pPr>
        <w:pBdr>
          <w:bottom w:val="single" w:color="006B6B" w:sz="3" w:space="2"/>
        </w:pBdr>
        <w:spacing w:before="280" w:after="80"/>
      </w:pPr>
      <w:r>
        <w:rPr>
          <w:rFonts w:ascii="Arial" w:cs="Arial" w:eastAsia="Arial" w:hAnsi="Arial"/>
          <w:b/>
          <w:bCs/>
          <w:color w:val="006B6B"/>
          <w:sz w:val="21"/>
          <w:szCs w:val="21"/>
        </w:rPr>
        <w:t xml:space="preserve">3.  </w:t>
      </w:r>
      <w:r>
        <w:rPr>
          <w:rFonts w:ascii="Arial" w:cs="Arial" w:eastAsia="Arial" w:hAnsi="Arial"/>
          <w:b/>
          <w:bCs/>
          <w:color w:val="006B6B"/>
          <w:sz w:val="21"/>
          <w:szCs w:val="21"/>
        </w:rPr>
        <w:t xml:space="preserve">THE THREE STRUCTURAL GOVERNANCE VULNERABILITIES IN THE NHI ACT</w:t>
      </w:r>
    </w:p>
    <w:p>
      <w:pPr>
        <w:spacing w:before="60" w:after="60"/>
        <w:jc w:val="left"/>
      </w:pPr>
      <w:r>
        <w:rPr>
          <w:rFonts w:ascii="Arial" w:cs="Arial" w:eastAsia="Arial" w:hAnsi="Arial"/>
          <w:b w:val="false"/>
          <w:bCs w:val="false"/>
          <w:i w:val="false"/>
          <w:iCs w:val="false"/>
          <w:color w:val="1A1A1A"/>
          <w:sz w:val="20"/>
          <w:szCs w:val="20"/>
        </w:rPr>
        <w:t xml:space="preserve">The founder of EthicHawks, Wilbur Matthee, has identified three structural governance vulnerabilities in the NHI Act, set out in a peer-reviewed article currently under specialist review for publication in the South African Medical Journal:</w:t>
      </w:r>
    </w:p>
    <w:p>
      <w:pPr>
        <w:spacing w:before="160" w:after="40"/>
      </w:pPr>
      <w:r>
        <w:rPr>
          <w:rFonts w:ascii="Arial" w:cs="Arial" w:eastAsia="Arial" w:hAnsi="Arial"/>
          <w:b/>
          <w:bCs/>
          <w:color w:val="1A1A1A"/>
          <w:sz w:val="20"/>
          <w:szCs w:val="20"/>
        </w:rPr>
        <w:t xml:space="preserve">3.1  </w:t>
      </w:r>
      <w:r>
        <w:rPr>
          <w:rFonts w:ascii="Arial" w:cs="Arial" w:eastAsia="Arial" w:hAnsi="Arial"/>
          <w:b/>
          <w:bCs/>
          <w:color w:val="1A1A1A"/>
          <w:sz w:val="20"/>
          <w:szCs w:val="20"/>
        </w:rPr>
        <w:t xml:space="preserve">Accreditation Without Verification Infrastructure</w:t>
      </w:r>
    </w:p>
    <w:p>
      <w:pPr>
        <w:spacing w:before="40" w:after="80"/>
        <w:ind w:left="360"/>
      </w:pPr>
      <w:r>
        <w:rPr>
          <w:rFonts w:ascii="Arial" w:cs="Arial" w:eastAsia="Arial" w:hAnsi="Arial"/>
          <w:color w:val="1A1A1A"/>
          <w:sz w:val="20"/>
          <w:szCs w:val="20"/>
        </w:rPr>
        <w:t xml:space="preserve">The NHI Act creates a mandatory accreditation framework but does not prescribe the digital infrastructure through which compliance will be verified in real time. PalCare provides this infrastructure at facility level — generating the audit trail that the NHI Fund will ultimately require.</w:t>
      </w:r>
    </w:p>
    <w:p>
      <w:pPr>
        <w:spacing w:before="160" w:after="40"/>
      </w:pPr>
      <w:r>
        <w:rPr>
          <w:rFonts w:ascii="Arial" w:cs="Arial" w:eastAsia="Arial" w:hAnsi="Arial"/>
          <w:b/>
          <w:bCs/>
          <w:color w:val="1A1A1A"/>
          <w:sz w:val="20"/>
          <w:szCs w:val="20"/>
        </w:rPr>
        <w:t xml:space="preserve">3.2  </w:t>
      </w:r>
      <w:r>
        <w:rPr>
          <w:rFonts w:ascii="Arial" w:cs="Arial" w:eastAsia="Arial" w:hAnsi="Arial"/>
          <w:b/>
          <w:bCs/>
          <w:color w:val="1A1A1A"/>
          <w:sz w:val="20"/>
          <w:szCs w:val="20"/>
        </w:rPr>
        <w:t xml:space="preserve">Billing Integrity Gap</w:t>
      </w:r>
    </w:p>
    <w:p>
      <w:pPr>
        <w:spacing w:before="40" w:after="80"/>
        <w:ind w:left="360"/>
      </w:pPr>
      <w:r>
        <w:rPr>
          <w:rFonts w:ascii="Arial" w:cs="Arial" w:eastAsia="Arial" w:hAnsi="Arial"/>
          <w:color w:val="1A1A1A"/>
          <w:sz w:val="20"/>
          <w:szCs w:val="20"/>
        </w:rPr>
        <w:t xml:space="preserve">The NHI's single-payer model creates concentration risk in billing. Without forensic billing gatekeeping at the point of care, the system is structurally vulnerable to upcoding, phantom billing, and consumables fraud. PalCare's ICD-10 integration and billing exception engine addresses this directly.</w:t>
      </w:r>
    </w:p>
    <w:p>
      <w:pPr>
        <w:spacing w:before="160" w:after="40"/>
      </w:pPr>
      <w:r>
        <w:rPr>
          <w:rFonts w:ascii="Arial" w:cs="Arial" w:eastAsia="Arial" w:hAnsi="Arial"/>
          <w:b/>
          <w:bCs/>
          <w:color w:val="1A1A1A"/>
          <w:sz w:val="20"/>
          <w:szCs w:val="20"/>
        </w:rPr>
        <w:t xml:space="preserve">3.3  </w:t>
      </w:r>
      <w:r>
        <w:rPr>
          <w:rFonts w:ascii="Arial" w:cs="Arial" w:eastAsia="Arial" w:hAnsi="Arial"/>
          <w:b/>
          <w:bCs/>
          <w:color w:val="1A1A1A"/>
          <w:sz w:val="20"/>
          <w:szCs w:val="20"/>
        </w:rPr>
        <w:t xml:space="preserve">Data Fragmentation at the Last Mile</w:t>
      </w:r>
    </w:p>
    <w:p>
      <w:pPr>
        <w:spacing w:before="40" w:after="80"/>
        <w:ind w:left="360"/>
      </w:pPr>
      <w:r>
        <w:rPr>
          <w:rFonts w:ascii="Arial" w:cs="Arial" w:eastAsia="Arial" w:hAnsi="Arial"/>
          <w:color w:val="1A1A1A"/>
          <w:sz w:val="20"/>
          <w:szCs w:val="20"/>
        </w:rPr>
        <w:t xml:space="preserve">The NHI's most acute implementation challenge is in community and palliative care — where care is delivered in homes and informal settings that have no existing digital infrastructure. PalCare is designed as a last-mile solution, enabling mobile-accessible clinical documentation by community healthcare workers.</w:t>
      </w:r>
    </w:p>
    <w:p>
      <w:pPr>
        <w:pBdr>
          <w:bottom w:val="single" w:color="006B6B" w:sz="3" w:space="2"/>
        </w:pBdr>
        <w:spacing w:before="280" w:after="80"/>
      </w:pPr>
      <w:r>
        <w:rPr>
          <w:rFonts w:ascii="Arial" w:cs="Arial" w:eastAsia="Arial" w:hAnsi="Arial"/>
          <w:b/>
          <w:bCs/>
          <w:color w:val="006B6B"/>
          <w:sz w:val="21"/>
          <w:szCs w:val="21"/>
        </w:rPr>
        <w:t xml:space="preserve">4.  </w:t>
      </w:r>
      <w:r>
        <w:rPr>
          <w:rFonts w:ascii="Arial" w:cs="Arial" w:eastAsia="Arial" w:hAnsi="Arial"/>
          <w:b/>
          <w:bCs/>
          <w:color w:val="006B6B"/>
          <w:sz w:val="21"/>
          <w:szCs w:val="21"/>
        </w:rPr>
        <w:t xml:space="preserve">PILOT EVIDENCE AND PARLIAMENTARY RELEVANCE</w:t>
      </w:r>
    </w:p>
    <w:p>
      <w:pPr>
        <w:spacing w:before="60" w:after="60"/>
        <w:jc w:val="left"/>
      </w:pPr>
      <w:r>
        <w:rPr>
          <w:rFonts w:ascii="Arial" w:cs="Arial" w:eastAsia="Arial" w:hAnsi="Arial"/>
          <w:b w:val="false"/>
          <w:bCs w:val="false"/>
          <w:i w:val="false"/>
          <w:iCs w:val="false"/>
          <w:color w:val="1A1A1A"/>
          <w:sz w:val="20"/>
          <w:szCs w:val="20"/>
        </w:rPr>
        <w:t xml:space="preserve">The PalCare pilot (May – July 2026) will generate 3 months of real-world clinical governance data from active palliative care facilities. This data is being structured specifically to:</w:t>
      </w:r>
    </w:p>
    <w:p>
      <w:pPr>
        <w:pStyle w:val="ListParagraph"/>
        <w:numPr>
          <w:ilvl w:val="0"/>
          <w:numId w:val="2"/>
        </w:numPr>
        <w:spacing w:before="40" w:after="40"/>
      </w:pPr>
      <w:r>
        <w:rPr>
          <w:rFonts w:ascii="Arial" w:cs="Arial" w:eastAsia="Arial" w:hAnsi="Arial"/>
          <w:color w:val="1A1A1A"/>
          <w:sz w:val="20"/>
          <w:szCs w:val="20"/>
        </w:rPr>
        <w:t xml:space="preserve">Provide the Portfolio Committee on Health with evidence of what NHI-ready clinical governance infrastructure looks like at facility level;</w:t>
      </w:r>
    </w:p>
    <w:p>
      <w:pPr>
        <w:pStyle w:val="ListParagraph"/>
        <w:numPr>
          <w:ilvl w:val="0"/>
          <w:numId w:val="2"/>
        </w:numPr>
        <w:spacing w:before="40" w:after="40"/>
      </w:pPr>
      <w:r>
        <w:rPr>
          <w:rFonts w:ascii="Arial" w:cs="Arial" w:eastAsia="Arial" w:hAnsi="Arial"/>
          <w:color w:val="1A1A1A"/>
          <w:sz w:val="20"/>
          <w:szCs w:val="20"/>
        </w:rPr>
        <w:t xml:space="preserve">Demonstrate the volume and nature of governance gaps that currently exist in the palliative care sector;</w:t>
      </w:r>
    </w:p>
    <w:p>
      <w:pPr>
        <w:pStyle w:val="ListParagraph"/>
        <w:numPr>
          <w:ilvl w:val="0"/>
          <w:numId w:val="2"/>
        </w:numPr>
        <w:spacing w:before="40" w:after="40"/>
      </w:pPr>
      <w:r>
        <w:rPr>
          <w:rFonts w:ascii="Arial" w:cs="Arial" w:eastAsia="Arial" w:hAnsi="Arial"/>
          <w:color w:val="1A1A1A"/>
          <w:sz w:val="20"/>
          <w:szCs w:val="20"/>
        </w:rPr>
        <w:t xml:space="preserve">Quantify the compliance lift required by the sector to meet NHI accreditation standards;</w:t>
      </w:r>
    </w:p>
    <w:p>
      <w:pPr>
        <w:pStyle w:val="ListParagraph"/>
        <w:numPr>
          <w:ilvl w:val="0"/>
          <w:numId w:val="2"/>
        </w:numPr>
        <w:spacing w:before="40" w:after="40"/>
      </w:pPr>
      <w:r>
        <w:rPr>
          <w:rFonts w:ascii="Arial" w:cs="Arial" w:eastAsia="Arial" w:hAnsi="Arial"/>
          <w:color w:val="1A1A1A"/>
          <w:sz w:val="20"/>
          <w:szCs w:val="20"/>
        </w:rPr>
        <w:t xml:space="preserve">Provide the SIU with a forensic baseline against which claims data can be interrogated.</w:t>
      </w:r>
    </w:p>
    <w:p>
      <w:pPr>
        <w:pBdr>
          <w:bottom w:val="single" w:color="006B6B" w:sz="3" w:space="2"/>
        </w:pBdr>
        <w:spacing w:before="280" w:after="80"/>
      </w:pPr>
      <w:r>
        <w:rPr>
          <w:rFonts w:ascii="Arial" w:cs="Arial" w:eastAsia="Arial" w:hAnsi="Arial"/>
          <w:b/>
          <w:bCs/>
          <w:color w:val="006B6B"/>
          <w:sz w:val="21"/>
          <w:szCs w:val="21"/>
        </w:rPr>
        <w:t xml:space="preserve">5.  </w:t>
      </w:r>
      <w:r>
        <w:rPr>
          <w:rFonts w:ascii="Arial" w:cs="Arial" w:eastAsia="Arial" w:hAnsi="Arial"/>
          <w:b/>
          <w:bCs/>
          <w:color w:val="006B6B"/>
          <w:sz w:val="21"/>
          <w:szCs w:val="21"/>
        </w:rPr>
        <w:t xml:space="preserve">POSITION FOR PRIVATE HEALTHCARE FACILITIES</w:t>
      </w:r>
    </w:p>
    <w:p>
      <w:pPr>
        <w:spacing w:before="60" w:after="60"/>
        <w:jc w:val="left"/>
      </w:pPr>
      <w:r>
        <w:rPr>
          <w:rFonts w:ascii="Arial" w:cs="Arial" w:eastAsia="Arial" w:hAnsi="Arial"/>
          <w:b w:val="false"/>
          <w:bCs w:val="false"/>
          <w:i w:val="false"/>
          <w:iCs w:val="false"/>
          <w:color w:val="1A1A1A"/>
          <w:sz w:val="20"/>
          <w:szCs w:val="20"/>
        </w:rPr>
        <w:t xml:space="preserve">For private healthcare facilities considering NHI participation, PalCare offers:</w:t>
      </w:r>
    </w:p>
    <w:p>
      <w:pPr>
        <w:pStyle w:val="ListParagraph"/>
        <w:numPr>
          <w:ilvl w:val="0"/>
          <w:numId w:val="2"/>
        </w:numPr>
        <w:spacing w:before="40" w:after="40"/>
      </w:pPr>
      <w:r>
        <w:rPr>
          <w:rFonts w:ascii="Arial" w:cs="Arial" w:eastAsia="Arial" w:hAnsi="Arial"/>
          <w:color w:val="1A1A1A"/>
          <w:sz w:val="20"/>
          <w:szCs w:val="20"/>
        </w:rPr>
        <w:t xml:space="preserve">An immediate pathway to audit-readiness without costly system overhaul;</w:t>
      </w:r>
    </w:p>
    <w:p>
      <w:pPr>
        <w:pStyle w:val="ListParagraph"/>
        <w:numPr>
          <w:ilvl w:val="0"/>
          <w:numId w:val="2"/>
        </w:numPr>
        <w:spacing w:before="40" w:after="40"/>
      </w:pPr>
      <w:r>
        <w:rPr>
          <w:rFonts w:ascii="Arial" w:cs="Arial" w:eastAsia="Arial" w:hAnsi="Arial"/>
          <w:color w:val="1A1A1A"/>
          <w:sz w:val="20"/>
          <w:szCs w:val="20"/>
        </w:rPr>
        <w:t xml:space="preserve">A POPIA-compliant patient data management solution purpose-built for South African healthcare;</w:t>
      </w:r>
    </w:p>
    <w:p>
      <w:pPr>
        <w:pStyle w:val="ListParagraph"/>
        <w:numPr>
          <w:ilvl w:val="0"/>
          <w:numId w:val="2"/>
        </w:numPr>
        <w:spacing w:before="40" w:after="40"/>
      </w:pPr>
      <w:r>
        <w:rPr>
          <w:rFonts w:ascii="Arial" w:cs="Arial" w:eastAsia="Arial" w:hAnsi="Arial"/>
          <w:color w:val="1A1A1A"/>
          <w:sz w:val="20"/>
          <w:szCs w:val="20"/>
        </w:rPr>
        <w:t xml:space="preserve">A competitive advantage in NHI Fund accreditation processes;</w:t>
      </w:r>
    </w:p>
    <w:p>
      <w:pPr>
        <w:pStyle w:val="ListParagraph"/>
        <w:numPr>
          <w:ilvl w:val="0"/>
          <w:numId w:val="2"/>
        </w:numPr>
        <w:spacing w:before="40" w:after="40"/>
      </w:pPr>
      <w:r>
        <w:rPr>
          <w:rFonts w:ascii="Arial" w:cs="Arial" w:eastAsia="Arial" w:hAnsi="Arial"/>
          <w:color w:val="1A1A1A"/>
          <w:sz w:val="20"/>
          <w:szCs w:val="20"/>
        </w:rPr>
        <w:t xml:space="preserve">A subscription model that scales with facility size, with no capital expenditure required.</w:t>
      </w:r>
    </w:p>
    <w:p>
      <w:pPr>
        <w:pBdr>
          <w:bottom w:val="single" w:color="006B6B" w:sz="3" w:space="2"/>
        </w:pBdr>
        <w:spacing w:before="280" w:after="80"/>
      </w:pPr>
      <w:r>
        <w:rPr>
          <w:rFonts w:ascii="Arial" w:cs="Arial" w:eastAsia="Arial" w:hAnsi="Arial"/>
          <w:b/>
          <w:bCs/>
          <w:color w:val="006B6B"/>
          <w:sz w:val="21"/>
          <w:szCs w:val="21"/>
        </w:rPr>
        <w:t xml:space="preserve">6.  </w:t>
      </w:r>
      <w:r>
        <w:rPr>
          <w:rFonts w:ascii="Arial" w:cs="Arial" w:eastAsia="Arial" w:hAnsi="Arial"/>
          <w:b/>
          <w:bCs/>
          <w:color w:val="006B6B"/>
          <w:sz w:val="21"/>
          <w:szCs w:val="21"/>
        </w:rPr>
        <w:t xml:space="preserve">CONTACT</w:t>
      </w:r>
    </w:p>
    <w:p>
      <w:pPr>
        <w:spacing w:before="60" w:after="60"/>
        <w:jc w:val="left"/>
      </w:pPr>
      <w:r>
        <w:rPr>
          <w:rFonts w:ascii="Arial" w:cs="Arial" w:eastAsia="Arial" w:hAnsi="Arial"/>
          <w:b w:val="false"/>
          <w:bCs w:val="false"/>
          <w:i w:val="false"/>
          <w:iCs w:val="false"/>
          <w:color w:val="1A1A1A"/>
          <w:sz w:val="20"/>
          <w:szCs w:val="20"/>
        </w:rPr>
        <w:t xml:space="preserve">For further information, partnership enquiries, or pilot programme participation:</w:t>
      </w:r>
    </w:p>
    <w:p>
      <w:pPr>
        <w:spacing w:before="40" w:after="20"/>
        <w:jc w:val="left"/>
      </w:pPr>
      <w:r>
        <w:rPr>
          <w:rFonts w:ascii="Arial" w:cs="Arial" w:eastAsia="Arial" w:hAnsi="Arial"/>
          <w:b/>
          <w:bCs/>
          <w:i w:val="false"/>
          <w:iCs w:val="false"/>
          <w:color w:val="1A1A1A"/>
          <w:sz w:val="20"/>
          <w:szCs w:val="20"/>
        </w:rPr>
        <w:t xml:space="preserve">Wilbur Matthee  |  Founder, EthicHawks (Pty) Ltd</w:t>
      </w:r>
    </w:p>
    <w:p>
      <w:pPr>
        <w:spacing w:before="20" w:after="80"/>
        <w:jc w:val="left"/>
      </w:pPr>
      <w:r>
        <w:rPr>
          <w:rFonts w:ascii="Arial" w:cs="Arial" w:eastAsia="Arial" w:hAnsi="Arial"/>
          <w:b w:val="false"/>
          <w:bCs w:val="false"/>
          <w:i w:val="false"/>
          <w:iCs w:val="false"/>
          <w:color w:val="006B6B"/>
          <w:sz w:val="20"/>
          <w:szCs w:val="20"/>
        </w:rPr>
        <w:t xml:space="preserve">info@ethichawks.co.za  |  Cape Town, South Africa</w:t>
      </w:r>
    </w:p>
    <w:p>
      <w:pPr>
        <w:spacing w:before="80" w:after="80"/>
      </w:pPr>
      <w:r>
        <w:t xml:space="preserve"/>
      </w:r>
    </w:p>
    <w:p>
      <w:pPr>
        <w:pBdr>
          <w:top w:val="single" w:color="006B6B" w:sz="6" w:space="4"/>
        </w:pBdr>
        <w:spacing w:before="120" w:after="0"/>
        <w:jc w:val="left"/>
      </w:pPr>
      <w:r>
        <w:rPr>
          <w:rFonts w:ascii="Arial" w:cs="Arial" w:eastAsia="Arial" w:hAnsi="Arial"/>
          <w:b w:val="false"/>
          <w:bCs w:val="false"/>
          <w:i/>
          <w:iCs/>
          <w:color w:val="888888"/>
          <w:sz w:val="17"/>
          <w:szCs w:val="17"/>
        </w:rPr>
        <w:t xml:space="preserve">EthicHawks (Pty) Ltd is a forensic governance consultancy and the developer of PalCare. This statement is provided for policy and commercial engagement purposes. PalCare is a registered product of EthicHawks (Pty) Ltd. All rights reserved.</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2"/>
      </w:pBdr>
      <w:jc w:val="center"/>
    </w:pPr>
    <w:r>
      <w:rPr>
        <w:rFonts w:ascii="Arial" w:cs="Arial" w:eastAsia="Arial" w:hAnsi="Arial"/>
        <w:color w:val="999999"/>
        <w:sz w:val="16"/>
        <w:szCs w:val="16"/>
      </w:rPr>
      <w:t xml:space="preserve">EthicHawks (Pty) Ltd  |  Cape Town  |  info@ethichawks.co.za     </w:t>
    </w:r>
    <w:r>
      <w:rPr>
        <w:rFonts w:ascii="Arial" w:cs="Arial" w:eastAsia="Arial" w:hAnsi="Arial"/>
        <w:color w:val="999999"/>
        <w:sz w:val="16"/>
        <w:szCs w:val="16"/>
      </w:rPr>
      <w:t xml:space="preserve">Page </w:t>
    </w:r>
    <w:r>
      <w:rPr>
        <w:rFonts w:ascii="Arial" w:cs="Arial" w:eastAsia="Arial" w:hAnsi="Arial"/>
        <w:color w:val="00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spacing w:after="0"/>
    </w:pPr>
    <w:r>
      <w:rPr>
        <w:rFonts w:ascii="Arial" w:cs="Arial" w:eastAsia="Arial" w:hAnsi="Arial"/>
        <w:b/>
        <w:bCs/>
        <w:color w:val="006B6B"/>
        <w:sz w:val="16"/>
        <w:szCs w:val="16"/>
      </w:rPr>
      <w:t xml:space="preserve">PALCARE  |  ETHICHAWKS (PTY) LTD</w:t>
    </w:r>
    <w:r>
      <w:rPr>
        <w:rFonts w:ascii="Arial" w:cs="Arial" w:eastAsia="Arial" w:hAnsi="Arial"/>
        <w:color w:val="999999"/>
        <w:sz w:val="16"/>
        <w:szCs w:val="16"/>
      </w:rPr>
      <w:t xml:space="preserve">     NHI ALIGNMENT STATEMENT     </w:t>
    </w:r>
    <w:r>
      <w:rPr>
        <w:rFonts w:ascii="Arial" w:cs="Arial" w:eastAsia="Arial" w:hAnsi="Arial"/>
        <w:b/>
        <w:bCs/>
        <w:color w:val="006B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2026-03-30T09:30:53.497Z</dcterms:created>
  <dcterms:modified xsi:type="dcterms:W3CDTF">2026-03-30T09:30:53.497Z</dcterms:modified>
</cp:coreProperties>
</file>

<file path=docProps/custom.xml><?xml version="1.0" encoding="utf-8"?>
<Properties xmlns="http://schemas.openxmlformats.org/officeDocument/2006/custom-properties" xmlns:vt="http://schemas.openxmlformats.org/officeDocument/2006/docPropsVTypes"/>
</file>