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3EF" w14:textId="77777777" w:rsidR="008544E7" w:rsidRDefault="008544E7">
      <w:pPr>
        <w:spacing w:before="2400"/>
      </w:pPr>
    </w:p>
    <w:p w14:paraId="29F4CDB2" w14:textId="77777777" w:rsidR="008544E7" w:rsidRDefault="001D15CC">
      <w:pPr>
        <w:pBdr>
          <w:bottom w:val="single" w:sz="6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ANNEXURE NTA1</w:t>
      </w:r>
    </w:p>
    <w:p w14:paraId="2F83DF49" w14:textId="77777777" w:rsidR="008544E7" w:rsidRDefault="008544E7">
      <w:pPr>
        <w:spacing w:before="200"/>
      </w:pPr>
    </w:p>
    <w:p w14:paraId="7119C124" w14:textId="77777777" w:rsidR="008544E7" w:rsidRDefault="001D15CC">
      <w:pPr>
        <w:spacing w:before="160" w:after="120"/>
        <w:jc w:val="center"/>
      </w:pPr>
      <w:r>
        <w:rPr>
          <w:rFonts w:ascii="Arial" w:eastAsia="Arial" w:hAnsi="Arial" w:cs="Arial"/>
          <w:b/>
          <w:bCs/>
          <w:color w:val="2E2E2E"/>
          <w:sz w:val="36"/>
          <w:szCs w:val="36"/>
        </w:rPr>
        <w:t>Email Correspondence</w:t>
      </w:r>
    </w:p>
    <w:p w14:paraId="0413892E" w14:textId="77777777" w:rsidR="008544E7" w:rsidRDefault="001D15CC">
      <w:pPr>
        <w:spacing w:before="80" w:after="8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>Respondent to Applicant's Legal Representatives</w:t>
      </w:r>
    </w:p>
    <w:p w14:paraId="7C824A00" w14:textId="77777777" w:rsidR="008544E7" w:rsidRDefault="001D15CC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1F3864"/>
          <w:sz w:val="28"/>
          <w:szCs w:val="28"/>
        </w:rPr>
        <w:t>Dated: 20 April 2026</w:t>
      </w:r>
    </w:p>
    <w:p w14:paraId="2D5DED38" w14:textId="77777777" w:rsidR="008544E7" w:rsidRDefault="001D15CC">
      <w:pPr>
        <w:pBdr>
          <w:top w:val="single" w:sz="4" w:space="6" w:color="AAAAAA"/>
        </w:pBdr>
        <w:spacing w:before="120"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 xml:space="preserve">Filing of Supplementary Answering Affidavit, Notice of Counter-Application, and Request to </w:t>
      </w:r>
      <w:proofErr w:type="spellStart"/>
      <w:r>
        <w:rPr>
          <w:rFonts w:ascii="Arial" w:eastAsia="Arial" w:hAnsi="Arial" w:cs="Arial"/>
          <w:color w:val="555555"/>
          <w:sz w:val="24"/>
          <w:szCs w:val="24"/>
        </w:rPr>
        <w:t>Enroll</w:t>
      </w:r>
      <w:proofErr w:type="spellEnd"/>
    </w:p>
    <w:p w14:paraId="0762438E" w14:textId="77777777" w:rsidR="008544E7" w:rsidRDefault="008544E7">
      <w:pPr>
        <w:spacing w:before="2000"/>
      </w:pPr>
    </w:p>
    <w:p w14:paraId="5FC659A1" w14:textId="77777777" w:rsidR="008544E7" w:rsidRDefault="001D15CC">
      <w:pPr>
        <w:pBdr>
          <w:top w:val="single" w:sz="6" w:space="4" w:color="1F3864"/>
        </w:pBdr>
        <w:jc w:val="center"/>
      </w:pPr>
      <w:r>
        <w:rPr>
          <w:rFonts w:ascii="Arial" w:eastAsia="Arial" w:hAnsi="Arial" w:cs="Arial"/>
          <w:color w:val="1F3864"/>
          <w:sz w:val="18"/>
          <w:szCs w:val="18"/>
        </w:rPr>
        <w:t xml:space="preserve">Case No. 2026-086906  | 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AfroCentric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Investment Corporation Limited v Wilbur William Matthee</w:t>
      </w:r>
    </w:p>
    <w:p w14:paraId="5769546C" w14:textId="77777777" w:rsidR="008544E7" w:rsidRDefault="001D15CC">
      <w:r>
        <w:br w:type="page"/>
      </w:r>
    </w:p>
    <w:p w14:paraId="7ED89264" w14:textId="77777777" w:rsidR="008544E7" w:rsidRDefault="008544E7">
      <w:pPr>
        <w:spacing w:before="2400"/>
      </w:pPr>
    </w:p>
    <w:p w14:paraId="5574FA64" w14:textId="77777777" w:rsidR="008544E7" w:rsidRDefault="001D15CC">
      <w:pPr>
        <w:pBdr>
          <w:bottom w:val="single" w:sz="6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ANNEXURE NTA2</w:t>
      </w:r>
    </w:p>
    <w:p w14:paraId="03B6B61C" w14:textId="77777777" w:rsidR="008544E7" w:rsidRDefault="008544E7">
      <w:pPr>
        <w:spacing w:before="200"/>
      </w:pPr>
    </w:p>
    <w:p w14:paraId="1374F33E" w14:textId="77777777" w:rsidR="008544E7" w:rsidRDefault="001D15CC">
      <w:pPr>
        <w:spacing w:before="160" w:after="120"/>
        <w:jc w:val="center"/>
      </w:pPr>
      <w:r>
        <w:rPr>
          <w:rFonts w:ascii="Arial" w:eastAsia="Arial" w:hAnsi="Arial" w:cs="Arial"/>
          <w:b/>
          <w:bCs/>
          <w:color w:val="2E2E2E"/>
          <w:sz w:val="36"/>
          <w:szCs w:val="36"/>
        </w:rPr>
        <w:t>Email Correspondence</w:t>
      </w:r>
    </w:p>
    <w:p w14:paraId="08A4454D" w14:textId="77777777" w:rsidR="008544E7" w:rsidRDefault="001D15CC">
      <w:pPr>
        <w:spacing w:before="80" w:after="8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>Respondent to Applicant's Legal Representatives</w:t>
      </w:r>
    </w:p>
    <w:p w14:paraId="21036228" w14:textId="77777777" w:rsidR="008544E7" w:rsidRDefault="001D15CC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1F3864"/>
          <w:sz w:val="28"/>
          <w:szCs w:val="28"/>
        </w:rPr>
        <w:t>Dated: 22 April 2026 at 11h32</w:t>
      </w:r>
    </w:p>
    <w:p w14:paraId="19D96170" w14:textId="77777777" w:rsidR="008544E7" w:rsidRDefault="001D15CC">
      <w:pPr>
        <w:pBdr>
          <w:top w:val="single" w:sz="4" w:space="6" w:color="AAAAAA"/>
        </w:pBdr>
        <w:spacing w:before="120"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Formal Notice of Intention to Anticipate Return Day in terms of Uniform Rule 6(8)</w:t>
      </w:r>
    </w:p>
    <w:p w14:paraId="437BD569" w14:textId="77777777" w:rsidR="008544E7" w:rsidRDefault="008544E7">
      <w:pPr>
        <w:spacing w:before="2000"/>
      </w:pPr>
    </w:p>
    <w:p w14:paraId="00B7012E" w14:textId="77777777" w:rsidR="008544E7" w:rsidRDefault="001D15CC">
      <w:pPr>
        <w:pBdr>
          <w:top w:val="single" w:sz="6" w:space="4" w:color="1F3864"/>
        </w:pBdr>
        <w:jc w:val="center"/>
      </w:pPr>
      <w:r>
        <w:rPr>
          <w:rFonts w:ascii="Arial" w:eastAsia="Arial" w:hAnsi="Arial" w:cs="Arial"/>
          <w:color w:val="1F3864"/>
          <w:sz w:val="18"/>
          <w:szCs w:val="18"/>
        </w:rPr>
        <w:t xml:space="preserve">Case No. 2026-086906  | 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AfroCentric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Investment Corporation Limited v Wilbur William Matthee</w:t>
      </w:r>
    </w:p>
    <w:p w14:paraId="07B4E1A2" w14:textId="77777777" w:rsidR="008544E7" w:rsidRDefault="001D15CC">
      <w:r>
        <w:br w:type="page"/>
      </w:r>
    </w:p>
    <w:p w14:paraId="4140C5DD" w14:textId="77777777" w:rsidR="008544E7" w:rsidRDefault="008544E7">
      <w:pPr>
        <w:spacing w:before="2400"/>
      </w:pPr>
    </w:p>
    <w:p w14:paraId="6CF39599" w14:textId="77777777" w:rsidR="008544E7" w:rsidRDefault="001D15CC">
      <w:pPr>
        <w:pBdr>
          <w:bottom w:val="single" w:sz="6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ANNEXURE NTA3</w:t>
      </w:r>
    </w:p>
    <w:p w14:paraId="57BEFCCD" w14:textId="77777777" w:rsidR="008544E7" w:rsidRDefault="008544E7">
      <w:pPr>
        <w:spacing w:before="200"/>
      </w:pPr>
    </w:p>
    <w:p w14:paraId="54F525CE" w14:textId="77777777" w:rsidR="008544E7" w:rsidRDefault="001D15CC">
      <w:pPr>
        <w:spacing w:before="160" w:after="120"/>
        <w:jc w:val="center"/>
      </w:pPr>
      <w:r>
        <w:rPr>
          <w:rFonts w:ascii="Arial" w:eastAsia="Arial" w:hAnsi="Arial" w:cs="Arial"/>
          <w:b/>
          <w:bCs/>
          <w:color w:val="2E2E2E"/>
          <w:sz w:val="36"/>
          <w:szCs w:val="36"/>
        </w:rPr>
        <w:t>Email Response</w:t>
      </w:r>
    </w:p>
    <w:p w14:paraId="5BB827CD" w14:textId="77777777" w:rsidR="008544E7" w:rsidRDefault="001D15CC">
      <w:pPr>
        <w:spacing w:before="80" w:after="8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 xml:space="preserve">Applicant's Attorneys (Jason Whyte, </w:t>
      </w:r>
      <w:proofErr w:type="spellStart"/>
      <w:r>
        <w:rPr>
          <w:rFonts w:ascii="Arial" w:eastAsia="Arial" w:hAnsi="Arial" w:cs="Arial"/>
          <w:color w:val="444444"/>
          <w:sz w:val="28"/>
          <w:szCs w:val="28"/>
        </w:rPr>
        <w:t>Deneys</w:t>
      </w:r>
      <w:proofErr w:type="spellEnd"/>
      <w:r>
        <w:rPr>
          <w:rFonts w:ascii="Arial" w:eastAsia="Arial" w:hAnsi="Arial" w:cs="Arial"/>
          <w:color w:val="444444"/>
          <w:sz w:val="28"/>
          <w:szCs w:val="28"/>
        </w:rPr>
        <w:t xml:space="preserve"> Attorneys) to Respondent</w:t>
      </w:r>
    </w:p>
    <w:p w14:paraId="42DBC6C1" w14:textId="77777777" w:rsidR="008544E7" w:rsidRDefault="001D15CC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1F3864"/>
          <w:sz w:val="28"/>
          <w:szCs w:val="28"/>
        </w:rPr>
        <w:t>Dated: 22 April 2026 at 13h37</w:t>
      </w:r>
    </w:p>
    <w:p w14:paraId="0464A771" w14:textId="77777777" w:rsidR="008544E7" w:rsidRDefault="001D15CC">
      <w:pPr>
        <w:pBdr>
          <w:top w:val="single" w:sz="4" w:space="6" w:color="AAAAAA"/>
        </w:pBdr>
        <w:spacing w:before="120"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Opposition to Anticipation and Threats of Punitive Costs Order</w:t>
      </w:r>
    </w:p>
    <w:p w14:paraId="24785EE9" w14:textId="77777777" w:rsidR="008544E7" w:rsidRDefault="008544E7">
      <w:pPr>
        <w:spacing w:before="2000"/>
      </w:pPr>
    </w:p>
    <w:p w14:paraId="38DDE7B6" w14:textId="17E4871A" w:rsidR="008544E7" w:rsidRDefault="001D15CC">
      <w:pPr>
        <w:pBdr>
          <w:top w:val="single" w:sz="6" w:space="4" w:color="1F3864"/>
        </w:pBdr>
        <w:jc w:val="center"/>
      </w:pPr>
      <w:r>
        <w:rPr>
          <w:rFonts w:ascii="Arial" w:eastAsia="Arial" w:hAnsi="Arial" w:cs="Arial"/>
          <w:color w:val="1F3864"/>
          <w:sz w:val="18"/>
          <w:szCs w:val="18"/>
        </w:rPr>
        <w:t xml:space="preserve">Case No. 2026-086906  | 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AfroCentric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Investme</w:t>
      </w:r>
      <w:r w:rsidR="00A71F63">
        <w:rPr>
          <w:rFonts w:ascii="Arial" w:eastAsia="Arial" w:hAnsi="Arial" w:cs="Arial"/>
          <w:color w:val="444444"/>
          <w:sz w:val="28"/>
          <w:szCs w:val="28"/>
        </w:rPr>
        <w:t>Kin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Corporation Limited v Wilbur William Matthee</w:t>
      </w:r>
    </w:p>
    <w:p w14:paraId="340F0D81" w14:textId="77777777" w:rsidR="008544E7" w:rsidRDefault="001D15CC">
      <w:r>
        <w:br w:type="page"/>
      </w:r>
    </w:p>
    <w:p w14:paraId="4085E647" w14:textId="77777777" w:rsidR="008544E7" w:rsidRDefault="008544E7">
      <w:pPr>
        <w:spacing w:before="2400"/>
      </w:pPr>
    </w:p>
    <w:p w14:paraId="6BE01884" w14:textId="77777777" w:rsidR="008544E7" w:rsidRDefault="001D15CC">
      <w:pPr>
        <w:pBdr>
          <w:bottom w:val="single" w:sz="6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ANNEXURE NTA4</w:t>
      </w:r>
    </w:p>
    <w:p w14:paraId="0F198148" w14:textId="77777777" w:rsidR="008544E7" w:rsidRDefault="008544E7">
      <w:pPr>
        <w:spacing w:before="200"/>
      </w:pPr>
    </w:p>
    <w:p w14:paraId="60816E43" w14:textId="77777777" w:rsidR="008544E7" w:rsidRDefault="001D15CC">
      <w:pPr>
        <w:spacing w:before="160" w:after="120"/>
        <w:jc w:val="center"/>
      </w:pPr>
      <w:r>
        <w:rPr>
          <w:rFonts w:ascii="Arial" w:eastAsia="Arial" w:hAnsi="Arial" w:cs="Arial"/>
          <w:b/>
          <w:bCs/>
          <w:color w:val="2E2E2E"/>
          <w:sz w:val="36"/>
          <w:szCs w:val="36"/>
        </w:rPr>
        <w:t>Email Reply — Respondent to Applicant's Attorneys</w:t>
      </w:r>
    </w:p>
    <w:p w14:paraId="606FE8A3" w14:textId="77777777" w:rsidR="008544E7" w:rsidRDefault="001D15CC">
      <w:pPr>
        <w:spacing w:before="80" w:after="8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>With UI-19 Employer Declaration (Medscheme Holdings Pty Ltd, signed 19 January 2026)</w:t>
      </w:r>
    </w:p>
    <w:p w14:paraId="403CAF6C" w14:textId="77777777" w:rsidR="008544E7" w:rsidRDefault="001D15CC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1F3864"/>
          <w:sz w:val="28"/>
          <w:szCs w:val="28"/>
        </w:rPr>
        <w:t>Dated: 22 April 2026 at 15h03</w:t>
      </w:r>
    </w:p>
    <w:p w14:paraId="7322A5E3" w14:textId="77777777" w:rsidR="008544E7" w:rsidRDefault="001D15CC">
      <w:pPr>
        <w:pBdr>
          <w:top w:val="single" w:sz="4" w:space="6" w:color="AAAAAA"/>
        </w:pBdr>
        <w:spacing w:before="120"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Rebuttal of Applicant's Conflation of Discovery and Emergency Timelines; Confirming Termination Code 6 and Gross Remuneration of R42,796</w:t>
      </w:r>
    </w:p>
    <w:p w14:paraId="1342E5A3" w14:textId="77777777" w:rsidR="008544E7" w:rsidRDefault="008544E7">
      <w:pPr>
        <w:spacing w:before="2000"/>
      </w:pPr>
    </w:p>
    <w:p w14:paraId="08704E8C" w14:textId="77777777" w:rsidR="008544E7" w:rsidRDefault="001D15CC">
      <w:pPr>
        <w:pBdr>
          <w:top w:val="single" w:sz="6" w:space="4" w:color="1F3864"/>
        </w:pBdr>
        <w:jc w:val="center"/>
      </w:pPr>
      <w:r>
        <w:rPr>
          <w:rFonts w:ascii="Arial" w:eastAsia="Arial" w:hAnsi="Arial" w:cs="Arial"/>
          <w:color w:val="1F3864"/>
          <w:sz w:val="18"/>
          <w:szCs w:val="18"/>
        </w:rPr>
        <w:t xml:space="preserve">Case No. 2026-086906  | 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AfroCentric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Investment Corporation Limited v Wilbur William Matthee</w:t>
      </w:r>
    </w:p>
    <w:p w14:paraId="57820A67" w14:textId="77777777" w:rsidR="008544E7" w:rsidRDefault="001D15CC">
      <w:r>
        <w:br w:type="page"/>
      </w:r>
    </w:p>
    <w:p w14:paraId="32D5FE71" w14:textId="77777777" w:rsidR="008544E7" w:rsidRDefault="008544E7">
      <w:pPr>
        <w:spacing w:before="2400"/>
      </w:pPr>
    </w:p>
    <w:p w14:paraId="568EF38A" w14:textId="77777777" w:rsidR="008544E7" w:rsidRDefault="001D15CC">
      <w:pPr>
        <w:pBdr>
          <w:bottom w:val="single" w:sz="6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72"/>
          <w:szCs w:val="72"/>
        </w:rPr>
        <w:t>ANNEXURE WW6</w:t>
      </w:r>
    </w:p>
    <w:p w14:paraId="4521E1B4" w14:textId="77777777" w:rsidR="008544E7" w:rsidRDefault="008544E7">
      <w:pPr>
        <w:spacing w:before="200"/>
      </w:pPr>
    </w:p>
    <w:p w14:paraId="3FDC97CC" w14:textId="77777777" w:rsidR="008544E7" w:rsidRDefault="001D15CC">
      <w:pPr>
        <w:spacing w:before="160" w:after="120"/>
        <w:jc w:val="center"/>
      </w:pPr>
      <w:r>
        <w:rPr>
          <w:rFonts w:ascii="Arial" w:eastAsia="Arial" w:hAnsi="Arial" w:cs="Arial"/>
          <w:b/>
          <w:bCs/>
          <w:color w:val="2E2E2E"/>
          <w:sz w:val="36"/>
          <w:szCs w:val="36"/>
        </w:rPr>
        <w:t>Affidavit of Destitution</w:t>
      </w:r>
    </w:p>
    <w:p w14:paraId="0CB84C0C" w14:textId="77777777" w:rsidR="008544E7" w:rsidRDefault="001D15CC">
      <w:pPr>
        <w:spacing w:before="80" w:after="80"/>
        <w:jc w:val="center"/>
        <w:rPr>
          <w:rFonts w:ascii="Arial" w:eastAsia="Arial" w:hAnsi="Arial" w:cs="Arial"/>
          <w:color w:val="444444"/>
          <w:sz w:val="28"/>
          <w:szCs w:val="28"/>
        </w:rPr>
      </w:pPr>
      <w:r>
        <w:rPr>
          <w:rFonts w:ascii="Arial" w:eastAsia="Arial" w:hAnsi="Arial" w:cs="Arial"/>
          <w:color w:val="444444"/>
          <w:sz w:val="28"/>
          <w:szCs w:val="28"/>
        </w:rPr>
        <w:t>Deposed to by Respondent Wilbur William Matthee</w:t>
      </w:r>
    </w:p>
    <w:p w14:paraId="22D096F0" w14:textId="6E21BB3C" w:rsidR="00A71F63" w:rsidRDefault="00A71F63">
      <w:pPr>
        <w:spacing w:before="80" w:after="8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 xml:space="preserve">Kindly Refer to Annexure WW6 in Supplementary </w:t>
      </w:r>
      <w:r w:rsidR="00686389">
        <w:rPr>
          <w:rFonts w:ascii="Arial" w:eastAsia="Arial" w:hAnsi="Arial" w:cs="Arial"/>
          <w:color w:val="444444"/>
          <w:sz w:val="28"/>
          <w:szCs w:val="28"/>
        </w:rPr>
        <w:t xml:space="preserve">Affidavit </w:t>
      </w:r>
    </w:p>
    <w:p w14:paraId="154A2128" w14:textId="77777777" w:rsidR="008544E7" w:rsidRDefault="008544E7">
      <w:pPr>
        <w:spacing w:before="80" w:after="160"/>
      </w:pPr>
    </w:p>
    <w:p w14:paraId="57E6C93B" w14:textId="77777777" w:rsidR="008544E7" w:rsidRDefault="001D15CC">
      <w:pPr>
        <w:pBdr>
          <w:top w:val="single" w:sz="4" w:space="6" w:color="AAAAAA"/>
        </w:pBdr>
        <w:spacing w:before="120"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Documenting Humanitarian Crisis, Obstruction of Statutory UIF Benefits, and State of Destitution</w:t>
      </w:r>
    </w:p>
    <w:p w14:paraId="4BC2C422" w14:textId="77777777" w:rsidR="008544E7" w:rsidRDefault="008544E7">
      <w:pPr>
        <w:spacing w:before="2000"/>
      </w:pPr>
    </w:p>
    <w:p w14:paraId="09EB352E" w14:textId="77777777" w:rsidR="008544E7" w:rsidRDefault="001D15CC">
      <w:pPr>
        <w:pBdr>
          <w:top w:val="single" w:sz="6" w:space="4" w:color="1F3864"/>
        </w:pBdr>
        <w:jc w:val="center"/>
      </w:pPr>
      <w:r>
        <w:rPr>
          <w:rFonts w:ascii="Arial" w:eastAsia="Arial" w:hAnsi="Arial" w:cs="Arial"/>
          <w:color w:val="1F3864"/>
          <w:sz w:val="18"/>
          <w:szCs w:val="18"/>
        </w:rPr>
        <w:t xml:space="preserve">Case No. 2026-086906  |  </w:t>
      </w:r>
      <w:proofErr w:type="spellStart"/>
      <w:r>
        <w:rPr>
          <w:rFonts w:ascii="Arial" w:eastAsia="Arial" w:hAnsi="Arial" w:cs="Arial"/>
          <w:color w:val="1F3864"/>
          <w:sz w:val="18"/>
          <w:szCs w:val="18"/>
        </w:rPr>
        <w:t>AfroCentric</w:t>
      </w:r>
      <w:proofErr w:type="spellEnd"/>
      <w:r>
        <w:rPr>
          <w:rFonts w:ascii="Arial" w:eastAsia="Arial" w:hAnsi="Arial" w:cs="Arial"/>
          <w:color w:val="1F3864"/>
          <w:sz w:val="18"/>
          <w:szCs w:val="18"/>
        </w:rPr>
        <w:t xml:space="preserve"> Investment Corporation Limited v Wilbur William Matthee</w:t>
      </w:r>
    </w:p>
    <w:sectPr w:rsidR="008544E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7CAD"/>
    <w:multiLevelType w:val="hybridMultilevel"/>
    <w:tmpl w:val="FFFFFFFF"/>
    <w:lvl w:ilvl="0" w:tplc="A97A2854">
      <w:start w:val="1"/>
      <w:numFmt w:val="bullet"/>
      <w:lvlText w:val="●"/>
      <w:lvlJc w:val="left"/>
      <w:pPr>
        <w:ind w:left="720" w:hanging="360"/>
      </w:pPr>
    </w:lvl>
    <w:lvl w:ilvl="1" w:tplc="72A6C61A">
      <w:start w:val="1"/>
      <w:numFmt w:val="bullet"/>
      <w:lvlText w:val="○"/>
      <w:lvlJc w:val="left"/>
      <w:pPr>
        <w:ind w:left="1440" w:hanging="360"/>
      </w:pPr>
    </w:lvl>
    <w:lvl w:ilvl="2" w:tplc="652494EA">
      <w:start w:val="1"/>
      <w:numFmt w:val="bullet"/>
      <w:lvlText w:val="■"/>
      <w:lvlJc w:val="left"/>
      <w:pPr>
        <w:ind w:left="2160" w:hanging="360"/>
      </w:pPr>
    </w:lvl>
    <w:lvl w:ilvl="3" w:tplc="5A525D32">
      <w:start w:val="1"/>
      <w:numFmt w:val="bullet"/>
      <w:lvlText w:val="●"/>
      <w:lvlJc w:val="left"/>
      <w:pPr>
        <w:ind w:left="2880" w:hanging="360"/>
      </w:pPr>
    </w:lvl>
    <w:lvl w:ilvl="4" w:tplc="D5441002">
      <w:start w:val="1"/>
      <w:numFmt w:val="bullet"/>
      <w:lvlText w:val="○"/>
      <w:lvlJc w:val="left"/>
      <w:pPr>
        <w:ind w:left="3600" w:hanging="360"/>
      </w:pPr>
    </w:lvl>
    <w:lvl w:ilvl="5" w:tplc="795C5BE2">
      <w:start w:val="1"/>
      <w:numFmt w:val="bullet"/>
      <w:lvlText w:val="■"/>
      <w:lvlJc w:val="left"/>
      <w:pPr>
        <w:ind w:left="4320" w:hanging="360"/>
      </w:pPr>
    </w:lvl>
    <w:lvl w:ilvl="6" w:tplc="4DB0C7BC">
      <w:start w:val="1"/>
      <w:numFmt w:val="bullet"/>
      <w:lvlText w:val="●"/>
      <w:lvlJc w:val="left"/>
      <w:pPr>
        <w:ind w:left="5040" w:hanging="360"/>
      </w:pPr>
    </w:lvl>
    <w:lvl w:ilvl="7" w:tplc="FA1A411E">
      <w:start w:val="1"/>
      <w:numFmt w:val="bullet"/>
      <w:lvlText w:val="●"/>
      <w:lvlJc w:val="left"/>
      <w:pPr>
        <w:ind w:left="5760" w:hanging="360"/>
      </w:pPr>
    </w:lvl>
    <w:lvl w:ilvl="8" w:tplc="67EE7D44">
      <w:start w:val="1"/>
      <w:numFmt w:val="bullet"/>
      <w:lvlText w:val="●"/>
      <w:lvlJc w:val="left"/>
      <w:pPr>
        <w:ind w:left="6480" w:hanging="360"/>
      </w:pPr>
    </w:lvl>
  </w:abstractNum>
  <w:num w:numId="1" w16cid:durableId="1909412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E7"/>
    <w:rsid w:val="00103FB4"/>
    <w:rsid w:val="00686389"/>
    <w:rsid w:val="008544E7"/>
    <w:rsid w:val="00A7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4757F"/>
  <w15:docId w15:val="{25F18470-25BC-DA44-AE14-682D524C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3</cp:revision>
  <dcterms:created xsi:type="dcterms:W3CDTF">2026-04-23T07:00:00Z</dcterms:created>
  <dcterms:modified xsi:type="dcterms:W3CDTF">2026-04-23T08:07:00Z</dcterms:modified>
</cp:coreProperties>
</file>