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52"/>
          <w:szCs w:val="52"/>
        </w:rPr>
        <w:t xml:space="preserve">ETHICHAWKS</w:t>
      </w:r>
    </w:p>
    <w:p>
      <w:pPr>
        <w:spacing w:after="80" w:before="0"/>
      </w:pPr>
      <w:r>
        <w:rPr>
          <w:rFonts w:ascii="Arial" w:cs="Arial" w:eastAsia="Arial" w:hAnsi="Arial"/>
          <w:color w:val="2E74B5"/>
          <w:sz w:val="24"/>
          <w:szCs w:val="24"/>
        </w:rPr>
        <w:t xml:space="preserve">Forensic Governance &amp; Compliance Consultancy</w:t>
      </w:r>
    </w:p>
    <w:p>
      <w:pPr>
        <w:pBdr>
          <w:bottom w:val="single" w:color="2E74B5" w:sz="8" w:space="8"/>
        </w:pBdr>
        <w:spacing w:after="400" w:before="0"/>
      </w:pPr>
      <w:r>
        <w:t xml:space="preserve"/>
      </w:r>
    </w:p>
    <w:p>
      <w:pPr>
        <w:spacing w:after="120" w:before="400"/>
      </w:pPr>
      <w:r>
        <w:rPr>
          <w:rFonts w:ascii="Arial" w:cs="Arial" w:eastAsia="Arial" w:hAnsi="Arial"/>
          <w:b/>
          <w:bCs/>
          <w:color w:val="1F3864"/>
          <w:sz w:val="40"/>
          <w:szCs w:val="40"/>
        </w:rPr>
        <w:t xml:space="preserve">FORENSIC PAYROLL AUDIT REPORT</w:t>
      </w:r>
    </w:p>
    <w:p>
      <w:pPr>
        <w:spacing w:after="80" w:before="0"/>
      </w:pPr>
      <w:r>
        <w:rPr>
          <w:rFonts w:ascii="Arial" w:cs="Arial" w:eastAsia="Arial" w:hAnsi="Arial"/>
          <w:b/>
          <w:bCs/>
          <w:color w:val="2E74B5"/>
          <w:sz w:val="26"/>
          <w:szCs w:val="26"/>
        </w:rPr>
        <w:t xml:space="preserve">IRP5 Discrepancy Analysis &amp; Unexplained Overtime Submission</w:t>
      </w:r>
    </w:p>
    <w:p>
      <w:pPr>
        <w:spacing w:after="80" w:before="0"/>
      </w:pPr>
      <w:r>
        <w:rPr>
          <w:rFonts w:ascii="Arial" w:cs="Arial" w:eastAsia="Arial" w:hAnsi="Arial"/>
          <w:color w:val="444444"/>
          <w:sz w:val="24"/>
          <w:szCs w:val="24"/>
        </w:rPr>
        <w:t xml:space="preserve">Matthee v AfroCentric Health / Medscheme Holdings (Pty) Ltd</w:t>
      </w:r>
    </w:p>
    <w:p>
      <w:pPr>
        <w:spacing w:after="480" w:before="0"/>
      </w:pPr>
      <w:r>
        <w:rPr>
          <w:rFonts w:ascii="Arial" w:cs="Arial" w:eastAsia="Arial" w:hAnsi="Arial"/>
          <w:b/>
          <w:bCs/>
          <w:color w:val="C00000"/>
          <w:sz w:val="22"/>
          <w:szCs w:val="22"/>
        </w:rPr>
        <w:t xml:space="preserve">REVISED EDITION — EH-FR-2025-001-R1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Reference</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EH-FR-2025-001-R1 (Revised — supersedes EH-FR-2025-001)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Wilbur William Matthee Sr., Specialist RN | Founder, EthicHawks</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of Revised Report</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 April 2026</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Period</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May 2024 – February 2025 (SARS 2025 Tax Year)</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0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CONFIDENTIAL — FOR BOARD USE ONLY</w:t>
            </w:r>
          </w:p>
        </w:tc>
      </w:tr>
    </w:tbl>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REVISION NOTE</w:t>
      </w:r>
    </w:p>
    <w:p>
      <w:pPr>
        <w:spacing w:after="60" w:before="60"/>
      </w:pPr>
      <w:r>
        <w:t xml:space="preserve"/>
      </w:r>
    </w:p>
    <w:p>
      <w:pPr>
        <w:pBdr>
          <w:top w:val="single" w:color="BF6300" w:sz="6"/>
          <w:bottom w:val="single" w:color="BF6300" w:sz="6"/>
          <w:left w:val="single" w:color="BF6300" w:sz="6"/>
          <w:right w:val="single" w:color="BF6300" w:sz="6"/>
        </w:pBdr>
        <w:shd w:fill="FFF2CC" w:val="clear"/>
        <w:spacing w:after="120" w:before="120"/>
      </w:pPr>
      <w:r>
        <w:rPr>
          <w:rFonts w:ascii="Arial" w:cs="Arial" w:eastAsia="Arial" w:hAnsi="Arial"/>
          <w:b/>
          <w:bCs/>
          <w:color w:val="BF6300"/>
          <w:sz w:val="22"/>
          <w:szCs w:val="22"/>
        </w:rPr>
        <w:t xml:space="preserve">This report (EH-FR-2025-001-R1) supersedes and replaces the original report EH-FR-2025-001. Following a peer review of the original report, three categories of error were identified and are corrected herein:</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The original report mischaracterised taxable fringe benefits (IRP5 codes 3810, 3817, 3801) as 'income inflation.' Under the Income Tax Act 58 of 1962, employer medical aid and pension contributions constitute statutory taxable fringe benefits that employers are required to disclose. Their presence on the ITA34 is legally correct and does not constitute misrepresentation.</w:t>
      </w:r>
    </w:p>
    <w:p>
      <w:pPr>
        <w:pStyle w:val="ListParagraph"/>
        <w:numPr>
          <w:ilvl w:val="0"/>
          <w:numId w:val="2"/>
        </w:numPr>
        <w:spacing w:after="60" w:before="60"/>
      </w:pPr>
      <w:r>
        <w:rPr>
          <w:rFonts w:ascii="Arial" w:cs="Arial" w:eastAsia="Arial" w:hAnsi="Arial"/>
          <w:b w:val="false"/>
          <w:bCs w:val="false"/>
          <w:sz w:val="22"/>
          <w:szCs w:val="22"/>
        </w:rPr>
        <w:t xml:space="preserve">The original report misidentified the retirement fund deduction of R48,096.00 as improper. Section 11(k) of the Income Tax Act permits deduction of total retirement fund contributions (employee plus employer) up to the statutory cap. The combined deduction is the standard and lawful mechanism. The original 'pension misrepresentation' finding is accordingly withdrawn.</w:t>
      </w:r>
    </w:p>
    <w:p>
      <w:pPr>
        <w:pStyle w:val="ListParagraph"/>
        <w:numPr>
          <w:ilvl w:val="0"/>
          <w:numId w:val="2"/>
        </w:numPr>
        <w:spacing w:after="60" w:before="60"/>
      </w:pPr>
      <w:r>
        <w:rPr>
          <w:rFonts w:ascii="Arial" w:cs="Arial" w:eastAsia="Arial" w:hAnsi="Arial"/>
          <w:b w:val="false"/>
          <w:bCs w:val="false"/>
          <w:sz w:val="22"/>
          <w:szCs w:val="22"/>
        </w:rPr>
        <w:t xml:space="preserve">The original tax recalculation contained an error in the application of the 2025 SARS tax tables and used an incorrect income base, resulting in an overstated refund entitlement figure. The corrected calculation is presented in Section 6 of this revised report.</w:t>
      </w:r>
    </w:p>
    <w:p>
      <w:pPr>
        <w:spacing w:after="60" w:before="60"/>
      </w:pPr>
      <w:r>
        <w:t xml:space="preserve"/>
      </w:r>
    </w:p>
    <w:p>
      <w:pPr>
        <w:spacing w:after="80" w:before="80"/>
      </w:pPr>
      <w:r>
        <w:rPr>
          <w:rFonts w:ascii="Arial" w:cs="Arial" w:eastAsia="Arial" w:hAnsi="Arial"/>
          <w:b w:val="false"/>
          <w:bCs w:val="false"/>
          <w:sz w:val="22"/>
          <w:szCs w:val="22"/>
        </w:rPr>
        <w:t xml:space="preserve">One finding from the original report — the R9,203.00 overtime submission (IRP5 code 3607) — is confirmed as a legitimate and unexplained discrepancy warranting investigation. This finding is refined and presented as the primary forensic finding of this revised report.</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1. EXECUTIVE SUMMARY</w:t>
      </w:r>
    </w:p>
    <w:p>
      <w:pPr>
        <w:spacing w:after="60" w:before="60"/>
      </w:pPr>
      <w:r>
        <w:t xml:space="preserve"/>
      </w:r>
    </w:p>
    <w:p>
      <w:pPr>
        <w:spacing w:after="80" w:before="80"/>
      </w:pPr>
      <w:r>
        <w:rPr>
          <w:rFonts w:ascii="Arial" w:cs="Arial" w:eastAsia="Arial" w:hAnsi="Arial"/>
          <w:sz w:val="22"/>
          <w:szCs w:val="22"/>
        </w:rPr>
        <w:t xml:space="preserve">This Forensic Payroll Audit Report (Revised Edition) has been prepared by EthicHawks Forensic Governance &amp; Compliance Consultancy on behalf of Mr. Wilbur William Matthee Sr. (Employee No. 7074649) in respect of his employment at Medscheme Holdings (Pty) Ltd for the period 1 May 2024 to 28 February 2025.</w:t>
      </w:r>
    </w:p>
    <w:p>
      <w:pPr>
        <w:spacing w:after="60" w:before="60"/>
      </w:pPr>
      <w:r>
        <w:t xml:space="preserve"/>
      </w:r>
    </w:p>
    <w:p>
      <w:pPr>
        <w:spacing w:after="80" w:before="80"/>
      </w:pPr>
      <w:r>
        <w:rPr>
          <w:rFonts w:ascii="Arial" w:cs="Arial" w:eastAsia="Arial" w:hAnsi="Arial"/>
          <w:sz w:val="22"/>
          <w:szCs w:val="22"/>
        </w:rPr>
        <w:t xml:space="preserve">The audit cross-references ten (10) authenticated monthly payslips against the SARS ITA34 Notice of Assessment for the 2025 tax year (reference 0694546243, document 22, dated 13 July 2025). After correction of the errors in the original report, this revised analysis identifies one primary, document-verified discrepancy and confirms the accuracy of the employer's treatment of fringe benefits and retirement fund contributions: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CONFIRMED FINDING — UNEXPLAINED OVERTIME SUBMISSION (R9,203.00): IRP5 code 3607 on the ITA34 records overtime income of R9,203.00 attributable to Medscheme Holdings. Cross-referencing all ten payslips covering the full 10-month employment period confirms that no overtime payment appears on any payslip. This R9,203.00 cannot be reconciled against payroll records and constitutes an unexplained submission requiring formal explanation from the employer.</w:t>
      </w:r>
    </w:p>
    <w:p>
      <w:pPr>
        <w:pStyle w:val="ListParagraph"/>
        <w:numPr>
          <w:ilvl w:val="0"/>
          <w:numId w:val="2"/>
        </w:numPr>
        <w:spacing w:after="60" w:before="60"/>
      </w:pPr>
      <w:r>
        <w:rPr>
          <w:rFonts w:ascii="Arial" w:cs="Arial" w:eastAsia="Arial" w:hAnsi="Arial"/>
          <w:b/>
          <w:bCs/>
          <w:sz w:val="22"/>
          <w:szCs w:val="22"/>
        </w:rPr>
        <w:t xml:space="preserve">WITHDRAWN FINDING — INCOME INFLATION: The original characterisation of taxable fringe benefits (codes 3810, 3817, 3801 totalling R56,975.00) as 'income inflation' is withdrawn. These figures represent statutory taxable fringe benefits disclosed in accordance with the Income Tax Act.</w:t>
      </w:r>
    </w:p>
    <w:p>
      <w:pPr>
        <w:pStyle w:val="ListParagraph"/>
        <w:numPr>
          <w:ilvl w:val="0"/>
          <w:numId w:val="2"/>
        </w:numPr>
        <w:spacing w:after="60" w:before="60"/>
      </w:pPr>
      <w:r>
        <w:rPr>
          <w:rFonts w:ascii="Arial" w:cs="Arial" w:eastAsia="Arial" w:hAnsi="Arial"/>
          <w:b/>
          <w:bCs/>
          <w:sz w:val="22"/>
          <w:szCs w:val="22"/>
        </w:rPr>
        <w:t xml:space="preserve">WITHDRAWN FINDING — PENSION MISREPRESENTATION: The original characterisation of the R48,096.00 Section 11(k) deduction as improper is withdrawn. This deduction correctly combines employee and employer retirement fund contributions as permitted by law.</w:t>
      </w:r>
    </w:p>
    <w:p>
      <w:pPr>
        <w:spacing w:after="60" w:before="60"/>
      </w:pPr>
      <w:r>
        <w:t xml:space="preserve"/>
      </w:r>
    </w:p>
    <w:p>
      <w:pPr>
        <w:spacing w:after="80" w:before="80"/>
      </w:pPr>
      <w:r>
        <w:rPr>
          <w:rFonts w:ascii="Arial" w:cs="Arial" w:eastAsia="Arial" w:hAnsi="Arial"/>
          <w:sz w:val="22"/>
          <w:szCs w:val="22"/>
        </w:rPr>
        <w:t xml:space="preserve">The quantified financial consequence of the confirmed overtime discrepancy, if successfully disputed with SARS, is an additional tax refund of approximately R2,852.93, bringing the total refund entitlement from R6,018.32 to approximately R8,871.25.</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2. SCOPE &amp; METHODOLOGY</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2.1 Sources of Evidence</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Ten (10) authenticated payslips issued by Medscheme Holdings (Pty) Ltd for the period May 2024 to February 2025 (SARS tax periods 3 through 12).</w:t>
      </w:r>
    </w:p>
    <w:p>
      <w:pPr>
        <w:pStyle w:val="ListParagraph"/>
        <w:numPr>
          <w:ilvl w:val="0"/>
          <w:numId w:val="2"/>
        </w:numPr>
        <w:spacing w:after="60" w:before="60"/>
      </w:pPr>
      <w:r>
        <w:rPr>
          <w:rFonts w:ascii="Arial" w:cs="Arial" w:eastAsia="Arial" w:hAnsi="Arial"/>
          <w:b w:val="false"/>
          <w:bCs w:val="false"/>
          <w:sz w:val="22"/>
          <w:szCs w:val="22"/>
        </w:rPr>
        <w:t xml:space="preserve">SARS ITA34 Notice of Assessment, Year of Assessment 2025, Reference No. 0694546243, Document No. 22, dated 13 July 2025 — classified as an 'Original Estimate Assessment.'</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2.2 Methodology</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Extraction of all earnings, deductions, and fringe benefit figures from each payslip.</w:t>
      </w:r>
    </w:p>
    <w:p>
      <w:pPr>
        <w:pStyle w:val="ListParagraph"/>
        <w:numPr>
          <w:ilvl w:val="0"/>
          <w:numId w:val="2"/>
        </w:numPr>
        <w:spacing w:after="60" w:before="60"/>
      </w:pPr>
      <w:r>
        <w:rPr>
          <w:rFonts w:ascii="Arial" w:cs="Arial" w:eastAsia="Arial" w:hAnsi="Arial"/>
          <w:b w:val="false"/>
          <w:bCs w:val="false"/>
          <w:sz w:val="22"/>
          <w:szCs w:val="22"/>
        </w:rPr>
        <w:t xml:space="preserve">Mapping of each IRP5 code on the ITA34 against the corresponding payslip line items, applying the correct tax treatment under the Income Tax Act 58 of 1962.</w:t>
      </w:r>
    </w:p>
    <w:p>
      <w:pPr>
        <w:pStyle w:val="ListParagraph"/>
        <w:numPr>
          <w:ilvl w:val="0"/>
          <w:numId w:val="2"/>
        </w:numPr>
        <w:spacing w:after="60" w:before="60"/>
      </w:pPr>
      <w:r>
        <w:rPr>
          <w:rFonts w:ascii="Arial" w:cs="Arial" w:eastAsia="Arial" w:hAnsi="Arial"/>
          <w:b w:val="false"/>
          <w:bCs w:val="false"/>
          <w:sz w:val="22"/>
          <w:szCs w:val="22"/>
        </w:rPr>
        <w:t xml:space="preserve">Identification of any ITA34 line item that cannot be reconciled to a payslip entry.</w:t>
      </w:r>
    </w:p>
    <w:p>
      <w:pPr>
        <w:pStyle w:val="ListParagraph"/>
        <w:numPr>
          <w:ilvl w:val="0"/>
          <w:numId w:val="2"/>
        </w:numPr>
        <w:spacing w:after="60" w:before="60"/>
      </w:pPr>
      <w:r>
        <w:rPr>
          <w:rFonts w:ascii="Arial" w:cs="Arial" w:eastAsia="Arial" w:hAnsi="Arial"/>
          <w:b w:val="false"/>
          <w:bCs w:val="false"/>
          <w:sz w:val="22"/>
          <w:szCs w:val="22"/>
        </w:rPr>
        <w:t xml:space="preserve">Recalculation of the employee's tax liability and refund entitlement using the 2025 SARS tax tables, applied to the correct taxable income base.</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2.3 Scope Limitations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Secondary employer income: The ITA34 reflects a second IRP5 code 3601 entry of R50,819.00 from a separate employer. This falls outside the scope of the Medscheme audit and is not attributed to Medscheme in this report.</w:t>
      </w:r>
    </w:p>
    <w:p>
      <w:pPr>
        <w:pStyle w:val="ListParagraph"/>
        <w:numPr>
          <w:ilvl w:val="0"/>
          <w:numId w:val="2"/>
        </w:numPr>
        <w:spacing w:after="60" w:before="60"/>
      </w:pPr>
      <w:r>
        <w:rPr>
          <w:rFonts w:ascii="Arial" w:cs="Arial" w:eastAsia="Arial" w:hAnsi="Arial"/>
          <w:b w:val="false"/>
          <w:bCs w:val="false"/>
          <w:sz w:val="22"/>
          <w:szCs w:val="22"/>
        </w:rPr>
        <w:t xml:space="preserve">Savings Withdrawal Benefit: Code 3926 (R4,335.00) is a lump sum benefit taxed under the Second Schedule and is not part of normal taxable employment income. It is excluded from the income comparison analysis.</w:t>
      </w:r>
    </w:p>
    <w:p>
      <w:pPr>
        <w:pStyle w:val="ListParagraph"/>
        <w:numPr>
          <w:ilvl w:val="0"/>
          <w:numId w:val="2"/>
        </w:numPr>
        <w:spacing w:after="60" w:before="60"/>
      </w:pPr>
      <w:r>
        <w:rPr>
          <w:rFonts w:ascii="Arial" w:cs="Arial" w:eastAsia="Arial" w:hAnsi="Arial"/>
          <w:b w:val="false"/>
          <w:bCs w:val="false"/>
          <w:sz w:val="22"/>
          <w:szCs w:val="22"/>
        </w:rPr>
        <w:t xml:space="preserve">No IRP5 certificate has been obtained from Medscheme. This report is based solely on payslip data and the ITA34 assessment.</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3. PAYSLIP DATA — RECONSTRUCTED EARNINGS REGISTER</w:t>
      </w:r>
    </w:p>
    <w:p>
      <w:pPr>
        <w:spacing w:after="60" w:before="60"/>
      </w:pPr>
      <w:r>
        <w:t xml:space="preserve"/>
      </w:r>
    </w:p>
    <w:p>
      <w:pPr>
        <w:spacing w:after="80" w:before="80"/>
      </w:pPr>
      <w:r>
        <w:rPr>
          <w:rFonts w:ascii="Arial" w:cs="Arial" w:eastAsia="Arial" w:hAnsi="Arial"/>
          <w:sz w:val="22"/>
          <w:szCs w:val="22"/>
        </w:rPr>
        <w:t xml:space="preserve">The following table reconstructs the complete earnings and deductions register for the 10-month period from payslip primary source documents: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26"/>
        <w:gridCol w:w="1500"/>
        <w:gridCol w:w="1400"/>
        <w:gridCol w:w="14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 Earnings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Earnings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Pension EE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Pay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2024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R5,715.51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R25,373.33</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June 2024</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R25,285.87</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July 2024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R25,285.87</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Aug 2024</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R34,102.65 *</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R5,510.89</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R24,635.73</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Sept 2024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R30,333.75 **</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R4,342.52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R22,035.20</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Oct 2024</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R25,285.87</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Nov 2024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R25,285.86</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 2024</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R35,044.87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R25,285.87</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 2025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R34,778.20</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R34,778.20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R5,802.97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R24,885.87</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 2025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R34,778.20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R34,778.20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R2,388.91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R5,915.42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R24,773.42</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TOTALS</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R349,915.36</w:t>
            </w:r>
          </w:p>
        </w:tc>
        <w:tc>
          <w:tcPr>
            <w:tcW w:type="dxa" w:w="15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R344,262.16</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R23,889.10</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R58,302.17</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R248,132.89</w:t>
            </w:r>
          </w:p>
        </w:tc>
      </w:tr>
    </w:tbl>
    <w:p>
      <w:pPr>
        <w:spacing w:after="60" w:before="60"/>
      </w:pPr>
      <w:r>
        <w:t xml:space="preserve"/>
      </w:r>
    </w:p>
    <w:p>
      <w:pPr>
        <w:spacing w:after="80" w:before="80"/>
      </w:pPr>
      <w:r>
        <w:rPr>
          <w:rFonts w:ascii="Arial" w:cs="Arial" w:eastAsia="Arial" w:hAnsi="Arial"/>
          <w:sz w:val="22"/>
          <w:szCs w:val="22"/>
        </w:rPr>
        <w:t xml:space="preserve">* August 2024: Unpaid Leave deduction of R942.22 applied to Normal Earnings of R35,044.87.</w:t>
      </w:r>
    </w:p>
    <w:p>
      <w:pPr>
        <w:spacing w:after="80" w:before="80"/>
      </w:pPr>
      <w:r>
        <w:rPr>
          <w:rFonts w:ascii="Arial" w:cs="Arial" w:eastAsia="Arial" w:hAnsi="Arial"/>
          <w:sz w:val="22"/>
          <w:szCs w:val="22"/>
        </w:rPr>
        <w:t xml:space="preserve">** September 2024: Unpaid Leave of R3,768.90 and Unpaid Leave Recovery of R942.22 applied, reducing total earned to R30,333.75.</w:t>
      </w:r>
    </w:p>
    <w:p>
      <w:pPr>
        <w:spacing w:after="60" w:before="60"/>
      </w:pPr>
      <w:r>
        <w:t xml:space="preserve"/>
      </w:r>
    </w:p>
    <w:p>
      <w:pPr>
        <w:spacing w:after="80" w:before="80"/>
      </w:pPr>
      <w:r>
        <w:rPr>
          <w:rFonts w:ascii="Arial" w:cs="Arial" w:eastAsia="Arial" w:hAnsi="Arial"/>
          <w:sz w:val="22"/>
          <w:szCs w:val="22"/>
        </w:rPr>
        <w:t xml:space="preserve">Additionally recorded on payslips as employer fringe benefits (not employee deductions): Medical Aid Bonitas ER — R2,676.00/month (R2,942.67 from January 2025); Sanlam Pension Fund ER — R2,420.76/month; PHI Disability ER — R447.52/month; Group Life — R246.85/month.</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4. ITA34 CODE RECONCILIATION — LINE-BY-LINE ANALYSIS</w:t>
      </w:r>
    </w:p>
    <w:p>
      <w:pPr>
        <w:spacing w:after="60" w:before="60"/>
      </w:pPr>
      <w:r>
        <w:t xml:space="preserve"/>
      </w:r>
    </w:p>
    <w:p>
      <w:pPr>
        <w:spacing w:after="80" w:before="80"/>
      </w:pPr>
      <w:r>
        <w:rPr>
          <w:rFonts w:ascii="Arial" w:cs="Arial" w:eastAsia="Arial" w:hAnsi="Arial"/>
          <w:sz w:val="22"/>
          <w:szCs w:val="22"/>
        </w:rPr>
        <w:t xml:space="preserve">The following table maps each IRP5 code on the ITA34 to its payslip source and assesses whether the reported figure is reconcilable: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800"/>
        <w:gridCol w:w="1800"/>
        <w:gridCol w:w="18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ITA34 Amount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Payslip Source</w:t>
            </w:r>
          </w:p>
        </w:tc>
        <w:tc>
          <w:tcPr>
            <w:tcW w:type="dxa" w:w="1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3601</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Income — taxable (Medscheme)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R344,262.00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Payslip Total Earnings = R344,262.16</w:t>
            </w:r>
          </w:p>
        </w:tc>
        <w:tc>
          <w:tcPr>
            <w:tcW w:type="dxa" w:w="18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RECONCILED (R0.16 rounding)</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3601</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Income — taxable (Secondary employer)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sz w:val="20"/>
                <w:szCs w:val="20"/>
              </w:rPr>
              <w:t xml:space="preserve">R50,819.00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777777"/>
                <w:sz w:val="20"/>
                <w:szCs w:val="20"/>
              </w:rPr>
              <w:t xml:space="preserve">Outside Medscheme scope</w:t>
            </w:r>
          </w:p>
        </w:tc>
        <w:tc>
          <w:tcPr>
            <w:tcW w:type="dxa" w:w="1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777777"/>
                <w:sz w:val="20"/>
                <w:szCs w:val="20"/>
              </w:rPr>
              <w:t xml:space="preserve">OUT OF SCOPE</w:t>
            </w:r>
          </w:p>
        </w:tc>
      </w:tr>
      <w:tr>
        <w:tc>
          <w:tcPr>
            <w:tcW w:type="dxa" w:w="7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3607</w:t>
            </w:r>
          </w:p>
        </w:tc>
        <w:tc>
          <w:tcPr>
            <w:tcW w:type="dxa" w:w="2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Overtime</w:t>
            </w:r>
          </w:p>
        </w:tc>
        <w:tc>
          <w:tcPr>
            <w:tcW w:type="dxa" w:w="1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R9,203.00</w:t>
            </w:r>
          </w:p>
        </w:tc>
        <w:tc>
          <w:tcPr>
            <w:tcW w:type="dxa" w:w="1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NIL — no overtime on any of 10 payslips</w:t>
            </w:r>
          </w:p>
        </w:tc>
        <w:tc>
          <w:tcPr>
            <w:tcW w:type="dxa" w:w="1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UNRECONCILED — PRIMARY FINDING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3810</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Medical Scheme Fees Fringe Benefit (ER contribution)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R27,293.00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Payslip 'Medical Aid Bonitas ER' line — statutory fringe benefit</w:t>
            </w:r>
          </w:p>
        </w:tc>
        <w:tc>
          <w:tcPr>
            <w:tcW w:type="dxa" w:w="18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RECONCILED — lawful disclosure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3817</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Pension Fund Contributions Fringe Benefit (ER contribution)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sz w:val="20"/>
                <w:szCs w:val="20"/>
              </w:rPr>
              <w:t xml:space="preserve">R24,207.00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Payslip 'Sanlam Pension Fund ER' (R2,420.76 x 10 = R24,207.60) — statutory fringe benefit</w:t>
            </w:r>
          </w:p>
        </w:tc>
        <w:tc>
          <w:tcPr>
            <w:tcW w:type="dxa" w:w="18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RECONCILED — lawful disclosure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3801</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General Fringe Benefits (PHI Disability ER + other)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R4,475.00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PHI Disability ER fringe benefit on payslips — statutory fringe benefit</w:t>
            </w:r>
          </w:p>
        </w:tc>
        <w:tc>
          <w:tcPr>
            <w:tcW w:type="dxa" w:w="18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RECONCILED — lawful disclosure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3926</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Savings Withdrawal Benefit (Lump Sum — Second Schedule)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sz w:val="20"/>
                <w:szCs w:val="20"/>
              </w:rPr>
              <w:t xml:space="preserve">R4,335.00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Lump sum — taxed under Second Schedule, separate from normal income</w:t>
            </w:r>
          </w:p>
        </w:tc>
        <w:tc>
          <w:tcPr>
            <w:tcW w:type="dxa" w:w="1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777777"/>
                <w:sz w:val="20"/>
                <w:szCs w:val="20"/>
              </w:rPr>
              <w:t xml:space="preserve">OUT OF SCOPE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4029</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Retirement Fund Contributions Deduction (s.11(k))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(R48,096.00)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EE R23,889 + ER R24,207 = R48,096. Section 11(k) allows combined deduction.</w:t>
            </w:r>
          </w:p>
        </w:tc>
        <w:tc>
          <w:tcPr>
            <w:tcW w:type="dxa" w:w="18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RECONCILED — lawful s.11(k) treatment</w:t>
            </w:r>
          </w:p>
        </w:tc>
      </w:tr>
    </w:tbl>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5. PRIMARY FORENSIC FINDING — UNEXPLAINED OVERTIME (CODE 3607)</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5.1 Documentary Basis</w:t>
      </w:r>
    </w:p>
    <w:p>
      <w:pPr>
        <w:spacing w:after="60" w:before="60"/>
      </w:pPr>
      <w:r>
        <w:t xml:space="preserve"/>
      </w:r>
    </w:p>
    <w:p>
      <w:pPr>
        <w:spacing w:after="80" w:before="80"/>
      </w:pPr>
      <w:r>
        <w:rPr>
          <w:rFonts w:ascii="Arial" w:cs="Arial" w:eastAsia="Arial" w:hAnsi="Arial"/>
          <w:sz w:val="22"/>
          <w:szCs w:val="22"/>
        </w:rPr>
        <w:t xml:space="preserve">A cross-reference of all ten payslips against the ITA34 reveals a single item that cannot be reconciled: IRP5 code 3607 (Overtime) — R9,203.00. This figure appears on the SARS assessment as income attributed to Medscheme Holdings. Not one of the ten payslips covering the full 10-month employment period (May 2024 to February 2025) contains any overtime entry, whether as an earning, an allowance, or an adjustment.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ITA34 (Reported)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Payslip Record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Overtime income (code 3607)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R9,203.00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R0.00 — confirmed across all 10 payslips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UNRECONCILED</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5.2 Alternative Explanations to be Ruled Out</w:t>
      </w:r>
    </w:p>
    <w:p>
      <w:pPr>
        <w:spacing w:after="60" w:before="60"/>
      </w:pPr>
      <w:r>
        <w:t xml:space="preserve"/>
      </w:r>
    </w:p>
    <w:p>
      <w:pPr>
        <w:spacing w:after="80" w:before="80"/>
      </w:pPr>
      <w:r>
        <w:rPr>
          <w:rFonts w:ascii="Arial" w:cs="Arial" w:eastAsia="Arial" w:hAnsi="Arial"/>
          <w:sz w:val="22"/>
          <w:szCs w:val="22"/>
        </w:rPr>
        <w:t xml:space="preserve">Before characterising this as fraudulent reporting, the following alternative explanations must be formally put to the employer and ruled out: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Back-pay or retrospective overtime adjustment: A prior-period overtime adjustment may have been processed outside the normal payslip cycle and submitted directly to SARS via the IRP5 reconciliation without appearing on a monthly payslip.</w:t>
      </w:r>
    </w:p>
    <w:p>
      <w:pPr>
        <w:pStyle w:val="ListParagraph"/>
        <w:numPr>
          <w:ilvl w:val="0"/>
          <w:numId w:val="2"/>
        </w:numPr>
        <w:spacing w:after="60" w:before="60"/>
      </w:pPr>
      <w:r>
        <w:rPr>
          <w:rFonts w:ascii="Arial" w:cs="Arial" w:eastAsia="Arial" w:hAnsi="Arial"/>
          <w:b w:val="false"/>
          <w:bCs w:val="false"/>
          <w:sz w:val="22"/>
          <w:szCs w:val="22"/>
        </w:rPr>
        <w:t xml:space="preserve">System error in IRP5 reconciliation: The employer's payroll system may have erroneously populated code 3607 during the IRP5 EMP501 submission process.</w:t>
      </w:r>
    </w:p>
    <w:p>
      <w:pPr>
        <w:pStyle w:val="ListParagraph"/>
        <w:numPr>
          <w:ilvl w:val="0"/>
          <w:numId w:val="2"/>
        </w:numPr>
        <w:spacing w:after="60" w:before="60"/>
      </w:pPr>
      <w:r>
        <w:rPr>
          <w:rFonts w:ascii="Arial" w:cs="Arial" w:eastAsia="Arial" w:hAnsi="Arial"/>
          <w:b w:val="false"/>
          <w:bCs w:val="false"/>
          <w:sz w:val="22"/>
          <w:szCs w:val="22"/>
        </w:rPr>
        <w:t xml:space="preserve">Misclassification: An amount correctly paid under another description (e.g., a one-time allowance) may have been misclassified as overtime in the IRP5 submission.</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5.3 Significance</w:t>
      </w:r>
    </w:p>
    <w:p>
      <w:pPr>
        <w:spacing w:after="60" w:before="60"/>
      </w:pPr>
      <w:r>
        <w:t xml:space="preserve"/>
      </w:r>
    </w:p>
    <w:p>
      <w:pPr>
        <w:spacing w:after="80" w:before="80"/>
      </w:pPr>
      <w:r>
        <w:rPr>
          <w:rFonts w:ascii="Arial" w:cs="Arial" w:eastAsia="Arial" w:hAnsi="Arial"/>
          <w:sz w:val="22"/>
          <w:szCs w:val="22"/>
        </w:rPr>
        <w:t xml:space="preserve">Regardless of the explanation, R9,203.00 of income was declared to SARS under your employee tax reference for which there is no payslip authority. This requires a written explanation from Medscheme and, if no legitimate basis exists, a corrected IRP5 submission. The finding is document-verified, arithmetically precise, and legally cognisable.</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6. CORRECTED TAX RECALCULATION</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6.1 Verification of the ITA34 Assessment</w:t>
      </w:r>
    </w:p>
    <w:p>
      <w:pPr>
        <w:spacing w:after="60" w:before="60"/>
      </w:pPr>
      <w:r>
        <w:t xml:space="preserve"/>
      </w:r>
    </w:p>
    <w:p>
      <w:pPr>
        <w:spacing w:after="80" w:before="80"/>
      </w:pPr>
      <w:r>
        <w:rPr>
          <w:rFonts w:ascii="Arial" w:cs="Arial" w:eastAsia="Arial" w:hAnsi="Arial"/>
          <w:sz w:val="22"/>
          <w:szCs w:val="22"/>
        </w:rPr>
        <w:t xml:space="preserve">The ITA34 assessment has been independently recalculated and verified using the 2025 SARS tax tables for individuals under 65. The SARS calculation is arithmetically correct based on the income figures submitted: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ITA34 Reported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Verified</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Income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R464,594.00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R464,594.00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Retirement Fund Deduction (s.11(k))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(R48,096.00)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(R48,096.00)</w:t>
            </w:r>
          </w:p>
        </w:tc>
      </w:tr>
      <w:tr>
        <w:tc>
          <w:tcPr>
            <w:tcW w:type="dxa" w:w="5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Taxable Income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R416,498.00</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R416,498.00</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 Tax (2025 tables: R77,362 + 31% x R45,998)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R91,621.38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R91,621.38</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Primary Rebate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(R17,235.00)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(R17,235.00)</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Medical Scheme Fees Tax Credit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(R7,280.00)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(R7,280.00)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Additional Medical Expenses Tax Credit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(R5,923.66)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(R5,923.66)</w:t>
            </w:r>
          </w:p>
        </w:tc>
      </w:tr>
      <w:tr>
        <w:tc>
          <w:tcPr>
            <w:tcW w:type="dxa" w:w="5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Net Tax Liability</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R61,182.72</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R61,182.72</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PAYE Credited (all sources)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(R67,201.04)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(R67,201.04)</w:t>
            </w:r>
          </w:p>
        </w:tc>
      </w:tr>
      <w:tr>
        <w:tc>
          <w:tcPr>
            <w:tcW w:type="dxa" w:w="50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Refund Issued</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b/>
                <w:bCs/>
                <w:color w:val="375623"/>
                <w:sz w:val="20"/>
                <w:szCs w:val="20"/>
              </w:rPr>
              <w:t xml:space="preserve">R6,018.32</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b/>
                <w:bCs/>
                <w:color w:val="375623"/>
                <w:sz w:val="20"/>
                <w:szCs w:val="20"/>
              </w:rPr>
              <w:t xml:space="preserve">R6,018.32</w:t>
            </w:r>
          </w:p>
        </w:tc>
      </w:tr>
    </w:tbl>
    <w:p>
      <w:pPr>
        <w:spacing w:after="60" w:before="60"/>
      </w:pPr>
      <w:r>
        <w:t xml:space="preserve"/>
      </w:r>
    </w:p>
    <w:p>
      <w:pPr>
        <w:spacing w:after="80" w:before="80"/>
      </w:pPr>
      <w:r>
        <w:rPr>
          <w:rFonts w:ascii="Arial" w:cs="Arial" w:eastAsia="Arial" w:hAnsi="Arial"/>
          <w:sz w:val="22"/>
          <w:szCs w:val="22"/>
        </w:rPr>
        <w:t xml:space="preserve">The SARS assessment is arithmetically correct. The refund of R6,018.32 is accurate based on the income figures submitted by all employers.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6.2 Revised Assessment if Code 3607 Overtime is Disputed and Removed</w:t>
      </w:r>
    </w:p>
    <w:p>
      <w:pPr>
        <w:spacing w:after="60" w:before="60"/>
      </w:pPr>
      <w:r>
        <w:t xml:space="preserve"/>
      </w:r>
    </w:p>
    <w:p>
      <w:pPr>
        <w:spacing w:after="80" w:before="80"/>
      </w:pPr>
      <w:r>
        <w:rPr>
          <w:rFonts w:ascii="Arial" w:cs="Arial" w:eastAsia="Arial" w:hAnsi="Arial"/>
          <w:sz w:val="22"/>
          <w:szCs w:val="22"/>
        </w:rPr>
        <w:t xml:space="preserve">If a formal dispute results in the removal of the R9,203.00 overtime income (code 3607) from the taxable income base, the revised calculation would be as follows: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Assessment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Revised (if OT removed)</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Taxable Income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R416,498.00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R407,295.00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 Tax (2025 tables: R77,362 + 31% x R36,795)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R91,621.38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R88,768.45</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Primary Rebate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(R17,235.00)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(R17,235.00)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Medical Scheme Fees Tax Credit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(R7,280.00)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(R7,280.00)</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Additional Medical Expenses Tax Credit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(R5,923.66)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(R5,923.66)</w:t>
            </w:r>
          </w:p>
        </w:tc>
      </w:tr>
      <w:tr>
        <w:tc>
          <w:tcPr>
            <w:tcW w:type="dxa" w:w="5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Net Tax Liability</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R61,182.72</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R58,329.79</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PAYE Credited (all sources)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(R67,201.04)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(R67,201.04)</w:t>
            </w:r>
          </w:p>
        </w:tc>
      </w:tr>
      <w:tr>
        <w:tc>
          <w:tcPr>
            <w:tcW w:type="dxa" w:w="50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Revised Refund Entitlement</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b/>
                <w:bCs/>
                <w:color w:val="375623"/>
                <w:sz w:val="20"/>
                <w:szCs w:val="20"/>
              </w:rPr>
              <w:t xml:space="preserve">R6,018.32</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b/>
                <w:bCs/>
                <w:color w:val="375623"/>
                <w:sz w:val="20"/>
                <w:szCs w:val="20"/>
              </w:rPr>
              <w:t xml:space="preserve">R8,871.25</w:t>
            </w:r>
          </w:p>
        </w:tc>
      </w:tr>
      <w:tr>
        <w:tc>
          <w:tcPr>
            <w:tcW w:type="dxa" w:w="502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BF6300"/>
                <w:sz w:val="20"/>
                <w:szCs w:val="20"/>
              </w:rPr>
              <w:t xml:space="preserve">ADDITIONAL REFUND (if dispute succeeds)</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right"/>
            </w:pPr>
            <w:r>
              <w:rPr>
                <w:rFonts w:ascii="Arial" w:cs="Arial" w:eastAsia="Arial" w:hAnsi="Arial"/>
                <w:b/>
                <w:bCs/>
                <w:color w:val="BF6300"/>
                <w:sz w:val="20"/>
                <w:szCs w:val="20"/>
              </w:rPr>
              <w:t xml:space="preserve">—</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right"/>
            </w:pPr>
            <w:r>
              <w:rPr>
                <w:rFonts w:ascii="Arial" w:cs="Arial" w:eastAsia="Arial" w:hAnsi="Arial"/>
                <w:b/>
                <w:bCs/>
                <w:color w:val="BF6300"/>
                <w:sz w:val="20"/>
                <w:szCs w:val="20"/>
              </w:rPr>
              <w:t xml:space="preserve">R2,852.93</w:t>
            </w:r>
          </w:p>
        </w:tc>
      </w:tr>
    </w:tbl>
    <w:p>
      <w:pPr>
        <w:spacing w:after="60" w:before="60"/>
      </w:pPr>
      <w:r>
        <w:t xml:space="preserve"/>
      </w:r>
    </w:p>
    <w:p>
      <w:pPr>
        <w:spacing w:after="80" w:before="80"/>
      </w:pPr>
      <w:r>
        <w:rPr>
          <w:rFonts w:ascii="Arial" w:cs="Arial" w:eastAsia="Arial" w:hAnsi="Arial"/>
          <w:sz w:val="22"/>
          <w:szCs w:val="22"/>
        </w:rPr>
        <w:t xml:space="preserve">The additional refund entitlement of R2,852.93 represents the tax effect of removing R9,203.00 from taxable income at the marginal rate of 31% applicable to income in the R370,501 – R512,800 bracket for the 2025 tax year.</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7. STATUTORY FRAMEWORK</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7.1 Fringe Benefits — Correct Legal Treatment</w:t>
      </w:r>
    </w:p>
    <w:p>
      <w:pPr>
        <w:spacing w:after="60" w:before="60"/>
      </w:pPr>
      <w:r>
        <w:t xml:space="preserve"/>
      </w:r>
    </w:p>
    <w:p>
      <w:pPr>
        <w:spacing w:after="80" w:before="80"/>
      </w:pPr>
      <w:r>
        <w:rPr>
          <w:rFonts w:ascii="Arial" w:cs="Arial" w:eastAsia="Arial" w:hAnsi="Arial"/>
          <w:sz w:val="22"/>
          <w:szCs w:val="22"/>
        </w:rPr>
        <w:t xml:space="preserve">For completeness, and to avoid any future mischaracterisation, the correct treatment of employer contributions under South African tax law is recorded:</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Employer medical aid contributions (code 3810): Treated as a taxable fringe benefit under the Seventh Schedule of the Income Tax Act. Employers are required to include these in the employee's gross income. This is statutory and does not constitute misrepresentation.</w:t>
      </w:r>
    </w:p>
    <w:p>
      <w:pPr>
        <w:pStyle w:val="ListParagraph"/>
        <w:numPr>
          <w:ilvl w:val="0"/>
          <w:numId w:val="2"/>
        </w:numPr>
        <w:spacing w:after="60" w:before="60"/>
      </w:pPr>
      <w:r>
        <w:rPr>
          <w:rFonts w:ascii="Arial" w:cs="Arial" w:eastAsia="Arial" w:hAnsi="Arial"/>
          <w:b w:val="false"/>
          <w:bCs w:val="false"/>
          <w:sz w:val="22"/>
          <w:szCs w:val="22"/>
        </w:rPr>
        <w:t xml:space="preserve">Employer pension fund contributions (code 3817): Similarly treated as a taxable fringe benefit under the Seventh Schedule. These contributions are included in gross income and then deducted under s.11(k), achieving tax neutrality for retirement savings.</w:t>
      </w:r>
    </w:p>
    <w:p>
      <w:pPr>
        <w:pStyle w:val="ListParagraph"/>
        <w:numPr>
          <w:ilvl w:val="0"/>
          <w:numId w:val="2"/>
        </w:numPr>
        <w:spacing w:after="60" w:before="60"/>
      </w:pPr>
      <w:r>
        <w:rPr>
          <w:rFonts w:ascii="Arial" w:cs="Arial" w:eastAsia="Arial" w:hAnsi="Arial"/>
          <w:b w:val="false"/>
          <w:bCs w:val="false"/>
          <w:sz w:val="22"/>
          <w:szCs w:val="22"/>
        </w:rPr>
        <w:t xml:space="preserve">Section 11(k) deduction: Permits deduction of the total retirement fund contributions (both employee and employer contributions) subject to the cap of the lesser of R350,000 or 27.5% of the greater of taxable income or remuneration. The R48,096.00 deduction on the ITA34 is the mathematically correct application of this provision.</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7.2 Applicable Provisions Regarding the Overtime Discrepancy</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Section 35 of the Income Tax Act: Employers must submit accurate IRP5 certificates. If R9,203.00 was reported as overtime without payroll authority, this constitutes either an error (to be corrected) or a misrepresentation (to be prosecuted).</w:t>
      </w:r>
    </w:p>
    <w:p>
      <w:pPr>
        <w:pStyle w:val="ListParagraph"/>
        <w:numPr>
          <w:ilvl w:val="0"/>
          <w:numId w:val="2"/>
        </w:numPr>
        <w:spacing w:after="60" w:before="60"/>
      </w:pPr>
      <w:r>
        <w:rPr>
          <w:rFonts w:ascii="Arial" w:cs="Arial" w:eastAsia="Arial" w:hAnsi="Arial"/>
          <w:b w:val="false"/>
          <w:bCs w:val="false"/>
          <w:sz w:val="22"/>
          <w:szCs w:val="22"/>
        </w:rPr>
        <w:t xml:space="preserve">Section 7B of the Income Tax Act: An employer who has submitted an incorrect IRP5 must issue a corrected certificate upon notification.</w:t>
      </w:r>
    </w:p>
    <w:p>
      <w:pPr>
        <w:pStyle w:val="ListParagraph"/>
        <w:numPr>
          <w:ilvl w:val="0"/>
          <w:numId w:val="2"/>
        </w:numPr>
        <w:spacing w:after="60" w:before="60"/>
      </w:pPr>
      <w:r>
        <w:rPr>
          <w:rFonts w:ascii="Arial" w:cs="Arial" w:eastAsia="Arial" w:hAnsi="Arial"/>
          <w:b w:val="false"/>
          <w:bCs w:val="false"/>
          <w:sz w:val="22"/>
          <w:szCs w:val="22"/>
        </w:rPr>
        <w:t xml:space="preserve">Section 99 of the Tax Administration Act 28 of 2011: An employee may dispute an assessment within 40 business days of the assessment date (or request extension) by submitting a true and full return.</w:t>
      </w:r>
    </w:p>
    <w:p>
      <w:pPr>
        <w:pStyle w:val="ListParagraph"/>
        <w:numPr>
          <w:ilvl w:val="0"/>
          <w:numId w:val="2"/>
        </w:numPr>
        <w:spacing w:after="60" w:before="60"/>
      </w:pPr>
      <w:r>
        <w:rPr>
          <w:rFonts w:ascii="Arial" w:cs="Arial" w:eastAsia="Arial" w:hAnsi="Arial"/>
          <w:b w:val="false"/>
          <w:bCs w:val="false"/>
          <w:sz w:val="22"/>
          <w:szCs w:val="22"/>
        </w:rPr>
        <w:t xml:space="preserve">Paragraph 11 of the Fourth Schedule: The employer bears primary liability for the correct deduction and payment of PAYE. Income incorrectly declared on an IRP5 affects the employee's tax liability and refund entitlement.</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8. SUMMARY OF FINDINGS — REVISED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26"/>
        <w:gridCol w:w="1600"/>
        <w:gridCol w:w="16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Quantum</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F1</w:t>
            </w:r>
          </w:p>
        </w:tc>
        <w:tc>
          <w:tcPr>
            <w:tcW w:type="dxa" w:w="1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Unexplained Overtime</w:t>
            </w:r>
          </w:p>
        </w:tc>
        <w:tc>
          <w:tcPr>
            <w:tcW w:type="dxa" w:w="35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sz w:val="20"/>
                <w:szCs w:val="20"/>
              </w:rPr>
              <w:t xml:space="preserve">IRP5 code 3607 records R9,203 overtime attributed to Medscheme. No overtime payment appears on any of the 10 payslips. Requires formal explanation and, if unsubstantiated, corrected IRP5.</w:t>
            </w:r>
          </w:p>
        </w:tc>
        <w:tc>
          <w:tcPr>
            <w:tcW w:type="dxa" w:w="16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R9,203.00</w:t>
            </w:r>
          </w:p>
        </w:tc>
        <w:tc>
          <w:tcPr>
            <w:tcW w:type="dxa" w:w="16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CONFIRMED — requires investigation</w:t>
            </w:r>
          </w:p>
        </w:tc>
      </w:tr>
      <w:tr>
        <w:tc>
          <w:tcPr>
            <w:tcW w:type="dxa" w:w="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F2</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Fringe Benefits (WITHDRAWN)</w:t>
            </w:r>
          </w:p>
        </w:tc>
        <w:tc>
          <w:tcPr>
            <w:tcW w:type="dxa" w:w="35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Codes 3810, 3817, 3801 are statutory taxable fringe benefits. Their inclusion on the ITA34 is legally required and does not constitute misrepresentation. Finding withdrawn.</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color w:val="375623"/>
                <w:sz w:val="20"/>
                <w:szCs w:val="20"/>
              </w:rPr>
              <w:t xml:space="preserve">N/A</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WITHDRAWN</w:t>
            </w:r>
          </w:p>
        </w:tc>
      </w:tr>
      <w:tr>
        <w:tc>
          <w:tcPr>
            <w:tcW w:type="dxa" w:w="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F3</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Pension Deduction (WITHDRAWN)</w:t>
            </w:r>
          </w:p>
        </w:tc>
        <w:tc>
          <w:tcPr>
            <w:tcW w:type="dxa" w:w="35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The R48,096 deduction combines employee (R23,889) and employer (R24,207) contributions as permitted under s.11(k) of the Income Tax Act. Deduction is lawful. Finding withdrawn.</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right"/>
            </w:pPr>
            <w:r>
              <w:rPr>
                <w:rFonts w:ascii="Arial" w:cs="Arial" w:eastAsia="Arial" w:hAnsi="Arial"/>
                <w:color w:val="375623"/>
                <w:sz w:val="20"/>
                <w:szCs w:val="20"/>
              </w:rPr>
              <w:t xml:space="preserve">N/A</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WITHDRAWN</w:t>
            </w:r>
          </w:p>
        </w:tc>
      </w:tr>
    </w:tbl>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9. RECOMMENDATIONS</w:t>
      </w:r>
    </w:p>
    <w:p>
      <w:pPr>
        <w:spacing w:after="60" w:before="60"/>
      </w:pPr>
      <w:r>
        <w:t xml:space="preserve"/>
      </w:r>
    </w:p>
    <w:p>
      <w:pPr>
        <w:pStyle w:val="ListParagraph"/>
        <w:numPr>
          <w:ilvl w:val="0"/>
          <w:numId w:val="3"/>
        </w:numPr>
        <w:spacing w:after="100" w:before="100"/>
      </w:pPr>
      <w:r>
        <w:rPr>
          <w:rFonts w:ascii="Arial" w:cs="Arial" w:eastAsia="Arial" w:hAnsi="Arial"/>
          <w:sz w:val="22"/>
          <w:szCs w:val="22"/>
        </w:rPr>
        <w:t xml:space="preserve">FORMAL ENQUIRY TO MEDSCHEME: Issue a written demand to Medscheme Holdings (Pty) Ltd requiring a full explanation of the R9,203.00 reported under IRP5 code 3607 for the 2025 tax year, together with supporting payroll records, attendance records, and overtime authorisation documentation. A response period of 10 business days is appropriate.</w:t>
      </w:r>
    </w:p>
    <w:p>
      <w:pPr>
        <w:pStyle w:val="ListParagraph"/>
        <w:numPr>
          <w:ilvl w:val="0"/>
          <w:numId w:val="3"/>
        </w:numPr>
        <w:spacing w:after="100" w:before="100"/>
      </w:pPr>
      <w:r>
        <w:rPr>
          <w:rFonts w:ascii="Arial" w:cs="Arial" w:eastAsia="Arial" w:hAnsi="Arial"/>
          <w:sz w:val="22"/>
          <w:szCs w:val="22"/>
        </w:rPr>
        <w:t xml:space="preserve">REQUEST CORRECTED IRP5: If Medscheme cannot substantiate the R9,203.00 overtime entry, demand a corrected IRP5 certificate under s.7B of the Income Tax Act removing code 3607 from the Medscheme submission.</w:t>
      </w:r>
    </w:p>
    <w:p>
      <w:pPr>
        <w:pStyle w:val="ListParagraph"/>
        <w:numPr>
          <w:ilvl w:val="0"/>
          <w:numId w:val="3"/>
        </w:numPr>
        <w:spacing w:after="100" w:before="100"/>
      </w:pPr>
      <w:r>
        <w:rPr>
          <w:rFonts w:ascii="Arial" w:cs="Arial" w:eastAsia="Arial" w:hAnsi="Arial"/>
          <w:sz w:val="22"/>
          <w:szCs w:val="22"/>
        </w:rPr>
        <w:t xml:space="preserve">SARS DISPUTE: Upon receipt of a corrected IRP5, or upon failure by Medscheme to respond within the stipulated period, file a formal dispute with SARS under s.99 of the Tax Administration Act requesting a reduced assessment to remove the R9,203.00 overtime income and recalculate the refund entitlement to approximately R8,871.25.</w:t>
      </w:r>
    </w:p>
    <w:p>
      <w:pPr>
        <w:pStyle w:val="ListParagraph"/>
        <w:numPr>
          <w:ilvl w:val="0"/>
          <w:numId w:val="3"/>
        </w:numPr>
        <w:spacing w:after="100" w:before="100"/>
      </w:pPr>
      <w:r>
        <w:rPr>
          <w:rFonts w:ascii="Arial" w:cs="Arial" w:eastAsia="Arial" w:hAnsi="Arial"/>
          <w:sz w:val="22"/>
          <w:szCs w:val="22"/>
        </w:rPr>
        <w:t xml:space="preserve">LABOUR COURT &amp; SECTION 162 PROCEEDINGS: Adduce this revised report as the accurate forensic payroll analysis in both the BCEA s.77A claim (Case No. 2026-077546) and the Companies Act s.162 director delinquency application (Case No. 2026-066952). The confirmed overtime discrepancy, while of lesser quantum than originally claimed, is a document-verified finding with a clear evidentiary foundation. Reliability and accuracy of expert evidence is essential to credibility before the court.</w:t>
      </w:r>
    </w:p>
    <w:p>
      <w:pPr>
        <w:pStyle w:val="ListParagraph"/>
        <w:numPr>
          <w:ilvl w:val="0"/>
          <w:numId w:val="3"/>
        </w:numPr>
        <w:spacing w:after="100" w:before="100"/>
      </w:pPr>
      <w:r>
        <w:rPr>
          <w:rFonts w:ascii="Arial" w:cs="Arial" w:eastAsia="Arial" w:hAnsi="Arial"/>
          <w:sz w:val="22"/>
          <w:szCs w:val="22"/>
        </w:rPr>
        <w:t xml:space="preserve">TAX PRACTITIONER CONSULTATION: Given the complexity of the ITA34 and the interaction between multiple employer submissions, it is recommended that a registered tax practitioner (SAIT or SAIPA member) be engaged to review the full ITA34 and advise on whether a s.99 dispute or voluntary disclosure is the appropriate mechanism.</w:t>
      </w:r>
    </w:p>
    <w:p>
      <w:r>
        <w:br w:type="page"/>
      </w:r>
    </w:p>
    <w:p>
      <w:pPr>
        <w:pStyle w:val="Heading1"/>
        <w:pBdr>
          <w:bottom w:val="single" w:color="2E74B5" w:sz="6" w:space="4"/>
        </w:pBdr>
        <w:spacing w:after="160" w:before="320"/>
      </w:pPr>
      <w:r>
        <w:rPr>
          <w:rFonts w:ascii="Arial" w:cs="Arial" w:eastAsia="Arial" w:hAnsi="Arial"/>
          <w:b/>
          <w:bCs/>
          <w:color w:val="1F3864"/>
          <w:sz w:val="28"/>
          <w:szCs w:val="28"/>
        </w:rPr>
        <w:t xml:space="preserve">10. DECLARATION</w:t>
      </w:r>
    </w:p>
    <w:p>
      <w:pPr>
        <w:spacing w:after="60" w:before="60"/>
      </w:pPr>
      <w:r>
        <w:t xml:space="preserve"/>
      </w:r>
    </w:p>
    <w:p>
      <w:pPr>
        <w:spacing w:after="80" w:before="80"/>
      </w:pPr>
      <w:r>
        <w:rPr>
          <w:rFonts w:ascii="Arial" w:cs="Arial" w:eastAsia="Arial" w:hAnsi="Arial"/>
          <w:sz w:val="22"/>
          <w:szCs w:val="22"/>
        </w:rPr>
        <w:t xml:space="preserve">I, Wilbur William Matthee Sr., declare that this Revised Forensic Payroll Audit Report (EH-FR-2025-001-R1) is true and accurate to the best of my knowledge and belief. This revised report has been prepared following a peer review that identified errors in the methodology of the original report (EH-FR-2025-001). The corrections in this revised edition reflect a higher standard of analytical rigour and comply with South African tax law as properly applied.</w:t>
      </w:r>
    </w:p>
    <w:p>
      <w:pPr>
        <w:spacing w:after="60" w:before="60"/>
      </w:pPr>
      <w:r>
        <w:t xml:space="preserve"/>
      </w:r>
    </w:p>
    <w:p>
      <w:pPr>
        <w:spacing w:after="80" w:before="80"/>
      </w:pPr>
      <w:r>
        <w:rPr>
          <w:rFonts w:ascii="Arial" w:cs="Arial" w:eastAsia="Arial" w:hAnsi="Arial"/>
          <w:sz w:val="22"/>
          <w:szCs w:val="22"/>
        </w:rPr>
        <w:t xml:space="preserve">I acknowledge and correct the errors in the original report. The sole remaining forensic finding — the unexplained R9,203.00 overtime submission — is supported by documentary evidence and is advanced on that basis alone.</w:t>
      </w:r>
    </w:p>
    <w:p>
      <w:pPr>
        <w:spacing w:after="60" w:before="60"/>
      </w:pPr>
      <w:r>
        <w:t xml:space="preserve"/>
      </w:r>
    </w:p>
    <w:p>
      <w:pPr>
        <w:spacing w:after="60" w:before="60"/>
      </w:pPr>
      <w:r>
        <w:t xml:space="preserve"/>
      </w:r>
    </w:p>
    <w:p>
      <w:pPr>
        <w:spacing w:after="80" w:before="480"/>
      </w:pPr>
      <w:r>
        <w:rPr>
          <w:rFonts w:ascii="Arial" w:cs="Arial" w:eastAsia="Arial" w:hAnsi="Arial"/>
          <w:sz w:val="22"/>
          <w:szCs w:val="22"/>
        </w:rPr>
        <w:t xml:space="preserve">___________________________________</w:t>
      </w:r>
    </w:p>
    <w:p>
      <w:pPr>
        <w:spacing w:after="80" w:before="80"/>
      </w:pPr>
      <w:r>
        <w:rPr>
          <w:rFonts w:ascii="Arial" w:cs="Arial" w:eastAsia="Arial" w:hAnsi="Arial"/>
          <w:b/>
          <w:bCs/>
          <w:sz w:val="22"/>
          <w:szCs w:val="22"/>
        </w:rPr>
        <w:t xml:space="preserve">Wilbur William Matthee Sr.</w:t>
      </w:r>
    </w:p>
    <w:p>
      <w:pPr>
        <w:spacing w:after="80" w:before="80"/>
      </w:pPr>
      <w:r>
        <w:rPr>
          <w:rFonts w:ascii="Arial" w:cs="Arial" w:eastAsia="Arial" w:hAnsi="Arial"/>
          <w:sz w:val="22"/>
          <w:szCs w:val="22"/>
        </w:rPr>
        <w:t xml:space="preserve">Specialist Registered Nurse | Founder, EthicHawks</w:t>
      </w:r>
    </w:p>
    <w:p>
      <w:pPr>
        <w:spacing w:after="80" w:before="80"/>
      </w:pPr>
      <w:r>
        <w:rPr>
          <w:rFonts w:ascii="Arial" w:cs="Arial" w:eastAsia="Arial" w:hAnsi="Arial"/>
          <w:sz w:val="22"/>
          <w:szCs w:val="22"/>
        </w:rPr>
        <w:t xml:space="preserve">Forensic Governance &amp; Compliance Consultancy</w:t>
      </w:r>
    </w:p>
    <w:p>
      <w:pPr>
        <w:spacing w:after="80" w:before="80"/>
      </w:pPr>
      <w:r>
        <w:rPr>
          <w:rFonts w:ascii="Arial" w:cs="Arial" w:eastAsia="Arial" w:hAnsi="Arial"/>
          <w:sz w:val="22"/>
          <w:szCs w:val="22"/>
        </w:rPr>
        <w:t xml:space="preserve">Cape Town, South Africa</w:t>
      </w:r>
    </w:p>
    <w:p>
      <w:pPr>
        <w:spacing w:after="80" w:before="80"/>
      </w:pPr>
      <w:r>
        <w:rPr>
          <w:rFonts w:ascii="Arial" w:cs="Arial" w:eastAsia="Arial" w:hAnsi="Arial"/>
          <w:sz w:val="22"/>
          <w:szCs w:val="22"/>
        </w:rPr>
        <w:t xml:space="preserve">11 April 2026</w:t>
      </w:r>
    </w:p>
    <w:p>
      <w:pPr>
        <w:spacing w:after="60" w:before="60"/>
      </w:pPr>
      <w:r>
        <w:t xml:space="preserve"/>
      </w:r>
    </w:p>
    <w:p>
      <w:pPr>
        <w:spacing w:after="60" w:before="60"/>
      </w:pPr>
      <w:r>
        <w:t xml:space="preserve"/>
      </w:r>
    </w:p>
    <w:p>
      <w:pPr>
        <w:pStyle w:val="Heading1"/>
        <w:pBdr>
          <w:bottom w:val="single" w:color="2E74B5" w:sz="6" w:space="4"/>
        </w:pBdr>
        <w:spacing w:after="160" w:before="320"/>
      </w:pPr>
      <w:r>
        <w:rPr>
          <w:rFonts w:ascii="Arial" w:cs="Arial" w:eastAsia="Arial" w:hAnsi="Arial"/>
          <w:b/>
          <w:bCs/>
          <w:color w:val="1F3864"/>
          <w:sz w:val="28"/>
          <w:szCs w:val="28"/>
        </w:rPr>
        <w:t xml:space="preserve">ANNEXURES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Annexure A–J: Payslips May 2024 – February 2025 (10 documents)</w:t>
      </w:r>
    </w:p>
    <w:p>
      <w:pPr>
        <w:pStyle w:val="ListParagraph"/>
        <w:numPr>
          <w:ilvl w:val="0"/>
          <w:numId w:val="2"/>
        </w:numPr>
        <w:spacing w:after="60" w:before="60"/>
      </w:pPr>
      <w:r>
        <w:rPr>
          <w:rFonts w:ascii="Arial" w:cs="Arial" w:eastAsia="Arial" w:hAnsi="Arial"/>
          <w:b w:val="false"/>
          <w:bCs w:val="false"/>
          <w:sz w:val="22"/>
          <w:szCs w:val="22"/>
        </w:rPr>
        <w:t xml:space="preserve">Annexure K: SARS ITA34 Notice of Assessment, Year 2025, Document No. 22, dated 13 July 2025</w:t>
      </w:r>
    </w:p>
    <w:p>
      <w:pPr>
        <w:pStyle w:val="ListParagraph"/>
        <w:numPr>
          <w:ilvl w:val="0"/>
          <w:numId w:val="2"/>
        </w:numPr>
        <w:spacing w:after="60" w:before="60"/>
      </w:pPr>
      <w:r>
        <w:rPr>
          <w:rFonts w:ascii="Arial" w:cs="Arial" w:eastAsia="Arial" w:hAnsi="Arial"/>
          <w:b w:val="false"/>
          <w:bCs w:val="false"/>
          <w:sz w:val="22"/>
          <w:szCs w:val="22"/>
        </w:rPr>
        <w:t xml:space="preserve">Annexure L: Peer Review Report identifying errors in original EH-FR-2025-001 (on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026"/>
      </w:tabs>
      <w:spacing w:before="120"/>
    </w:pPr>
    <w:r>
      <w:rPr>
        <w:rFonts w:ascii="Arial" w:cs="Arial" w:eastAsia="Arial" w:hAnsi="Arial"/>
        <w:color w:val="666666"/>
        <w:sz w:val="18"/>
        <w:szCs w:val="18"/>
      </w:rPr>
      <w:t xml:space="preserve">CONFIDENTIAL — FOR BOARD USE ONLY     EthicHawks Ref: EH-FR-2025-001-R1     Revised: 11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120" w:before="0"/>
    </w:pPr>
    <w:r>
      <w:rPr>
        <w:rFonts w:ascii="Arial" w:cs="Arial" w:eastAsia="Arial" w:hAnsi="Arial"/>
        <w:b/>
        <w:bCs/>
        <w:color w:val="1F3864"/>
        <w:sz w:val="18"/>
        <w:szCs w:val="18"/>
      </w:rPr>
      <w:t xml:space="preserve">ETHICHAWKS FORENSIC GOVERNANCE &amp; COMPLIANCE CONSULTANCY</w:t>
    </w:r>
    <w:r>
      <w:rPr>
        <w:rFonts w:ascii="Arial" w:cs="Arial" w:eastAsia="Arial" w:hAnsi="Arial"/>
        <w:color w:val="666666"/>
        <w:sz w:val="18"/>
        <w:szCs w:val="18"/>
      </w:rPr>
      <w:t xml:space="preserve">     |     CONFIDENTIAL FORENSIC REPORT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2026-04-11T16:52:20.233Z</dcterms:created>
  <dcterms:modified xsi:type="dcterms:W3CDTF">2026-04-11T16:52:20.234Z</dcterms:modified>
</cp:coreProperties>
</file>

<file path=docProps/custom.xml><?xml version="1.0" encoding="utf-8"?>
<Properties xmlns="http://schemas.openxmlformats.org/officeDocument/2006/custom-properties" xmlns:vt="http://schemas.openxmlformats.org/officeDocument/2006/docPropsVTypes"/>
</file>