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A2B4C" w:val="clear"/>
            <w:tcMar>
              <w:top w:type="dxa" w:w="240"/>
              <w:left w:type="dxa" w:w="360"/>
              <w:bottom w:type="dxa" w:w="240"/>
              <w:right w:type="dxa" w:w="360"/>
            </w:tcMar>
          </w:tcPr>
          <w:p>
            <w:pPr>
              <w:spacing w:after="60" w:before="60"/>
              <w:jc w:val="center"/>
            </w:pPr>
            <w:r>
              <w:rPr>
                <w:rFonts w:ascii="Arial" w:cs="Arial" w:eastAsia="Arial" w:hAnsi="Arial"/>
                <w:b/>
                <w:bCs/>
                <w:color w:val="C9973A"/>
                <w:sz w:val="36"/>
                <w:szCs w:val="36"/>
              </w:rPr>
              <w:t xml:space="preserve">⚠  BREAKING NEWS</w:t>
            </w:r>
          </w:p>
          <w:p>
            <w:pPr>
              <w:spacing w:after="60" w:before="60"/>
              <w:jc w:val="center"/>
            </w:pPr>
            <w:r>
              <w:rPr>
                <w:rFonts w:ascii="Arial" w:cs="Arial" w:eastAsia="Arial" w:hAnsi="Arial"/>
                <w:b/>
                <w:bCs/>
                <w:color w:val="FFFFFF"/>
                <w:sz w:val="26"/>
                <w:szCs w:val="26"/>
              </w:rPr>
              <w:t xml:space="preserve">THE ANATOMY OF A CORPORATE EXECUTION —</w:t>
            </w:r>
          </w:p>
          <w:p>
            <w:pPr>
              <w:spacing w:after="60" w:before="40"/>
              <w:jc w:val="center"/>
            </w:pPr>
            <w:r>
              <w:rPr>
                <w:rFonts w:ascii="Arial" w:cs="Arial" w:eastAsia="Arial" w:hAnsi="Arial"/>
                <w:b/>
                <w:bCs/>
                <w:color w:val="FFFFFF"/>
                <w:sz w:val="26"/>
                <w:szCs w:val="26"/>
              </w:rPr>
              <w:t xml:space="preserve">ONE SPECIALIST'S DESCENT INTO THE INSTITUTIONAL VOID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Mar>
              <w:top w:type="dxa" w:w="60"/>
              <w:left w:type="dxa" w:w="0"/>
              <w:bottom w:type="dxa" w:w="60"/>
              <w:right w:type="dxa" w:w="120"/>
            </w:tcMar>
          </w:tcPr>
          <w:p>
            <w:pPr>
              <w:spacing w:after="60" w:before="60"/>
            </w:pPr>
            <w:r>
              <w:rPr>
                <w:rFonts w:ascii="Arial" w:cs="Arial" w:eastAsia="Arial" w:hAnsi="Arial"/>
                <w:b/>
                <w:bCs/>
                <w:color w:val="1A2B4C"/>
                <w:sz w:val="18"/>
                <w:szCs w:val="18"/>
              </w:rPr>
              <w:t xml:space="preserve">ORIGIN: </w:t>
            </w:r>
            <w:r>
              <w:rPr>
                <w:rFonts w:ascii="Arial" w:cs="Arial" w:eastAsia="Arial" w:hAnsi="Arial"/>
                <w:color w:val="1A1A1A"/>
                <w:sz w:val="18"/>
                <w:szCs w:val="18"/>
              </w:rPr>
              <w:t xml:space="preserve">Cape Town, South Africa</w:t>
            </w:r>
          </w:p>
          <w:p>
            <w:pPr>
              <w:spacing w:after="60" w:before="60"/>
            </w:pPr>
            <w:r>
              <w:rPr>
                <w:rFonts w:ascii="Arial" w:cs="Arial" w:eastAsia="Arial" w:hAnsi="Arial"/>
                <w:b/>
                <w:bCs/>
                <w:color w:val="1A2B4C"/>
                <w:sz w:val="18"/>
                <w:szCs w:val="18"/>
              </w:rPr>
              <w:t xml:space="preserve">DATE: </w:t>
            </w:r>
            <w:r>
              <w:rPr>
                <w:rFonts w:ascii="Arial" w:cs="Arial" w:eastAsia="Arial" w:hAnsi="Arial"/>
                <w:color w:val="1A1A1A"/>
                <w:sz w:val="18"/>
                <w:szCs w:val="18"/>
              </w:rPr>
              <w:t xml:space="preserve">20 April 2026</w:t>
            </w:r>
          </w:p>
          <w:p>
            <w:pPr>
              <w:spacing w:after="60" w:before="60"/>
            </w:pPr>
            <w:r>
              <w:rPr>
                <w:rFonts w:ascii="Arial" w:cs="Arial" w:eastAsia="Arial" w:hAnsi="Arial"/>
                <w:b/>
                <w:bCs/>
                <w:color w:val="1A2B4C"/>
                <w:sz w:val="18"/>
                <w:szCs w:val="18"/>
              </w:rPr>
              <w:t xml:space="preserve">ISSUED BY: </w:t>
            </w:r>
            <w:r>
              <w:rPr>
                <w:rFonts w:ascii="Arial" w:cs="Arial" w:eastAsia="Arial" w:hAnsi="Arial"/>
                <w:color w:val="1A1A1A"/>
                <w:sz w:val="18"/>
                <w:szCs w:val="18"/>
              </w:rPr>
              <w:t xml:space="preserve">EthicHawks Forensic Governance</w:t>
            </w:r>
          </w:p>
        </w:tc>
        <w:tc>
          <w:tcPr>
            <w:tcW w:type="dxa" w:w="4680"/>
            <w:tcBorders>
              <w:top w:val="none" w:color="auto" w:sz="0"/>
              <w:left w:val="none" w:color="auto" w:sz="0"/>
              <w:bottom w:val="none" w:color="auto" w:sz="0"/>
              <w:right w:val="none" w:color="auto" w:sz="0"/>
            </w:tcBorders>
            <w:tcMar>
              <w:top w:type="dxa" w:w="60"/>
              <w:left w:type="dxa" w:w="120"/>
              <w:bottom w:type="dxa" w:w="60"/>
              <w:right w:type="dxa" w:w="0"/>
            </w:tcMar>
          </w:tcPr>
          <w:p>
            <w:pPr>
              <w:spacing w:after="60" w:before="60"/>
            </w:pPr>
            <w:r>
              <w:rPr>
                <w:rFonts w:ascii="Arial" w:cs="Arial" w:eastAsia="Arial" w:hAnsi="Arial"/>
                <w:b/>
                <w:bCs/>
                <w:color w:val="1A2B4C"/>
                <w:sz w:val="18"/>
                <w:szCs w:val="18"/>
              </w:rPr>
              <w:t xml:space="preserve">CONTACT: </w:t>
            </w:r>
            <w:r>
              <w:rPr>
                <w:rFonts w:ascii="Arial" w:cs="Arial" w:eastAsia="Arial" w:hAnsi="Arial"/>
                <w:color w:val="1A1A1A"/>
                <w:sz w:val="18"/>
                <w:szCs w:val="18"/>
              </w:rPr>
              <w:t xml:space="preserve">info@ethichawks.co.za</w:t>
            </w:r>
          </w:p>
          <w:p>
            <w:pPr>
              <w:spacing w:after="60" w:before="60"/>
            </w:pPr>
            <w:r>
              <w:rPr>
                <w:rFonts w:ascii="Arial" w:cs="Arial" w:eastAsia="Arial" w:hAnsi="Arial"/>
                <w:b/>
                <w:bCs/>
                <w:color w:val="1A2B4C"/>
                <w:sz w:val="18"/>
                <w:szCs w:val="18"/>
              </w:rPr>
              <w:t xml:space="preserve">SUBJECT: </w:t>
            </w:r>
            <w:r>
              <w:rPr>
                <w:rFonts w:ascii="Arial" w:cs="Arial" w:eastAsia="Arial" w:hAnsi="Arial"/>
                <w:color w:val="1A1A1A"/>
                <w:sz w:val="18"/>
                <w:szCs w:val="18"/>
              </w:rPr>
              <w:t xml:space="preserve">Matthee v AfroCentric Health</w:t>
            </w:r>
          </w:p>
          <w:p>
            <w:pPr>
              <w:spacing w:after="60" w:before="60"/>
            </w:pPr>
            <w:r>
              <w:rPr>
                <w:rFonts w:ascii="Arial" w:cs="Arial" w:eastAsia="Arial" w:hAnsi="Arial"/>
                <w:b/>
                <w:bCs/>
                <w:color w:val="1A2B4C"/>
                <w:sz w:val="18"/>
                <w:szCs w:val="18"/>
              </w:rPr>
              <w:t xml:space="preserve">CLASSIFICATION: </w:t>
            </w:r>
            <w:r>
              <w:rPr>
                <w:rFonts w:ascii="Arial" w:cs="Arial" w:eastAsia="Arial" w:hAnsi="Arial"/>
                <w:color w:val="1A1A1A"/>
                <w:sz w:val="18"/>
                <w:szCs w:val="18"/>
              </w:rPr>
              <w:t xml:space="preserve">FOR IMMEDIATE RELEASE</w:t>
            </w:r>
          </w:p>
        </w:tc>
      </w:tr>
    </w:tbl>
    <w:p>
      <w:pPr>
        <w:spacing w:after="80" w:before="0"/>
      </w:pPr>
    </w:p>
    <w:p>
      <w:pPr>
        <w:pBdr>
          <w:bottom w:val="single" w:color="C9973A" w:sz="10" w:space="1"/>
        </w:pBdr>
        <w:spacing w:after="0" w:before="0"/>
      </w:pPr>
    </w:p>
    <w:p>
      <w:pPr>
        <w:spacing w:after="140" w:before="0"/>
      </w:pPr>
    </w:p>
    <w:p>
      <w:pPr>
        <w:spacing w:after="120" w:before="80"/>
      </w:pPr>
      <w:r>
        <w:rPr>
          <w:rFonts w:ascii="Arial" w:cs="Arial" w:eastAsia="Arial" w:hAnsi="Arial"/>
          <w:color w:val="1A1A1A"/>
          <w:sz w:val="20"/>
          <w:szCs w:val="20"/>
        </w:rPr>
        <w:t xml:space="preserve">In the shadow of Table Mountain, a legal and humanitarian crisis is unfolding that exposes the dark underbelly of South African corporate governance and the total collapse of the state's regulatory safeguards. It is the story of </w:t>
      </w:r>
    </w:p>
    <w:p>
      <w:pPr>
        <w:spacing w:after="120" w:before="0"/>
      </w:pPr>
      <w:r>
        <w:rPr>
          <w:rFonts w:ascii="Arial" w:cs="Arial" w:eastAsia="Arial" w:hAnsi="Arial"/>
          <w:b/>
          <w:bCs/>
          <w:color w:val="1A2B4C"/>
          <w:sz w:val="20"/>
          <w:szCs w:val="20"/>
        </w:rPr>
        <w:t xml:space="preserve">Wilbur William Matthee</w:t>
      </w:r>
      <w:r>
        <w:rPr>
          <w:rFonts w:ascii="Arial" w:cs="Arial" w:eastAsia="Arial" w:hAnsi="Arial"/>
          <w:color w:val="1A1A1A"/>
          <w:sz w:val="20"/>
          <w:szCs w:val="20"/>
        </w:rPr>
        <w:t xml:space="preserve">, a Specialist Nurse (NQF 8) and forensic risk architect, who has been methodically stripped of his livelihood, his dignity, and his statutory rights by a billion-rand entity — only for the 'Goliath' to trip over its own sworn contradictions.</w:t>
      </w:r>
    </w:p>
    <w:p>
      <w:pPr>
        <w:spacing w:after="80" w:before="0"/>
      </w:pPr>
    </w:p>
    <w:p>
      <w:pPr>
        <w:shd w:fill="1A2B4C" w:val="clear"/>
        <w:spacing w:after="140" w:before="280"/>
      </w:pPr>
      <w:r>
        <w:rPr>
          <w:rFonts w:ascii="Arial" w:cs="Arial" w:eastAsia="Arial" w:hAnsi="Arial"/>
          <w:b/>
          <w:bCs/>
          <w:caps w:val="false"/>
          <w:color w:val="C9973A"/>
          <w:sz w:val="24"/>
          <w:szCs w:val="24"/>
        </w:rPr>
        <w:t xml:space="preserve">§ 1 — THE 'PARA 13.4' PERJURY: THE SMOKING GUN</w:t>
      </w:r>
    </w:p>
    <w:p>
      <w:pPr>
        <w:spacing w:after="60" w:before="0"/>
      </w:pPr>
    </w:p>
    <w:p>
      <w:pPr>
        <w:spacing w:after="120" w:before="80"/>
      </w:pPr>
      <w:r>
        <w:rPr>
          <w:rFonts w:ascii="Arial" w:cs="Arial" w:eastAsia="Arial" w:hAnsi="Arial"/>
          <w:color w:val="1A1A1A"/>
          <w:sz w:val="20"/>
          <w:szCs w:val="20"/>
        </w:rPr>
        <w:t xml:space="preserve">The core of this corporate campaign revolves around a staggering act of judicial deception. To secure an urgent High Court interdict and justify the necessity of a gag order, the CEO of AfroCentric Investment Corporation swore under oath in </w:t>
      </w:r>
    </w:p>
    <w:p>
      <w:pPr>
        <w:spacing w:after="120" w:before="0"/>
      </w:pPr>
      <w:r>
        <w:rPr>
          <w:rFonts w:ascii="Arial" w:cs="Arial" w:eastAsia="Arial" w:hAnsi="Arial"/>
          <w:b/>
          <w:bCs/>
          <w:color w:val="8B1A1A"/>
          <w:sz w:val="20"/>
          <w:szCs w:val="20"/>
        </w:rPr>
        <w:t xml:space="preserve">Paragraph 13.4</w:t>
      </w:r>
      <w:r>
        <w:rPr>
          <w:rFonts w:ascii="Arial" w:cs="Arial" w:eastAsia="Arial" w:hAnsi="Arial"/>
          <w:color w:val="1A1A1A"/>
          <w:sz w:val="20"/>
          <w:szCs w:val="20"/>
        </w:rPr>
        <w:t xml:space="preserve"> that Matthee acted as a </w:t>
      </w:r>
      <w:r>
        <w:rPr>
          <w:rFonts w:ascii="Arial" w:cs="Arial" w:eastAsia="Arial" w:hAnsi="Arial"/>
          <w:b/>
          <w:bCs/>
          <w:color w:val="1A1A1A"/>
          <w:sz w:val="20"/>
          <w:szCs w:val="20"/>
        </w:rPr>
        <w:t xml:space="preserve">Case Manager</w:t>
      </w:r>
      <w:r>
        <w:rPr>
          <w:rFonts w:ascii="Arial" w:cs="Arial" w:eastAsia="Arial" w:hAnsi="Arial"/>
          <w:color w:val="1A1A1A"/>
          <w:sz w:val="20"/>
          <w:szCs w:val="20"/>
        </w:rPr>
        <w:t xml:space="preserve">.</w:t>
      </w:r>
    </w:p>
    <w:p>
      <w:pPr>
        <w:spacing w:after="120" w:before="80"/>
      </w:pPr>
      <w:r>
        <w:rPr>
          <w:rFonts w:ascii="Arial" w:cs="Arial" w:eastAsia="Arial" w:hAnsi="Arial"/>
          <w:color w:val="1A1A1A"/>
          <w:sz w:val="20"/>
          <w:szCs w:val="20"/>
        </w:rPr>
        <w:t xml:space="preserve">However, the moment the courtroom doors closed, the narrative inverted. In an attempt to devalue his claim and block his benefits, the company's HR machinery downgraded his 16-year career to that of a 'Care Coordinator.' This Fatal Contradiction is not merely an administrative error — it is a calculated judicial admission that traps the Applicant in a lie of their own making.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F2F4F7" w:val="clear"/>
            <w:tcMar>
              <w:top w:type="dxa" w:w="160"/>
              <w:left w:type="dxa" w:w="360"/>
              <w:bottom w:type="dxa" w:w="160"/>
              <w:right w:type="dxa" w:w="360"/>
            </w:tcMar>
          </w:tcPr>
          <w:p>
            <w:pPr>
              <w:jc w:val="center"/>
            </w:pPr>
            <w:r>
              <w:rPr>
                <w:rFonts w:ascii="Arial" w:cs="Arial" w:eastAsia="Arial" w:hAnsi="Arial"/>
                <w:b/>
                <w:bCs/>
                <w:i/>
                <w:iCs/>
                <w:color w:val="8B1A1A"/>
                <w:sz w:val="22"/>
                <w:szCs w:val="22"/>
              </w:rPr>
              <w:t xml:space="preserve">"They used his specialist status as a sword to get into court, then used a junior title as a shield to deny him bread."</w:t>
            </w:r>
          </w:p>
        </w:tc>
      </w:tr>
    </w:tbl>
    <w:p>
      <w:pPr>
        <w:spacing w:after="140" w:before="0"/>
      </w:pPr>
    </w:p>
    <w:p>
      <w:pPr>
        <w:shd w:fill="1A2B4C" w:val="clear"/>
        <w:spacing w:after="140" w:before="280"/>
      </w:pPr>
      <w:r>
        <w:rPr>
          <w:rFonts w:ascii="Arial" w:cs="Arial" w:eastAsia="Arial" w:hAnsi="Arial"/>
          <w:b/>
          <w:bCs/>
          <w:caps w:val="false"/>
          <w:color w:val="C9973A"/>
          <w:sz w:val="24"/>
          <w:szCs w:val="24"/>
        </w:rPr>
        <w:t xml:space="preserve">§ 2 — THE ADMINISTRATIVE STRANGULATION: DEATH BY UI19</w:t>
      </w:r>
    </w:p>
    <w:p>
      <w:pPr>
        <w:spacing w:after="60" w:before="0"/>
      </w:pPr>
    </w:p>
    <w:p>
      <w:pPr>
        <w:spacing w:after="120" w:before="80"/>
      </w:pPr>
      <w:r>
        <w:rPr>
          <w:rFonts w:ascii="Arial" w:cs="Arial" w:eastAsia="Arial" w:hAnsi="Arial"/>
          <w:color w:val="1A1A1A"/>
          <w:sz w:val="20"/>
          <w:szCs w:val="20"/>
        </w:rPr>
        <w:t xml:space="preserve">While the corporation sits in climate-controlled boardrooms, Matthee has been forced into a state of absolute destitution. The weapon of choice? The UI19 form.</w:t>
      </w:r>
    </w:p>
    <w:p>
      <w:pPr>
        <w:spacing w:after="60" w:before="0"/>
      </w:pPr>
    </w:p>
    <w:p>
      <w:pPr>
        <w:pStyle w:val="ListParagraph"/>
        <w:numPr>
          <w:ilvl w:val="0"/>
          <w:numId w:val="2"/>
        </w:numPr>
        <w:spacing w:after="80" w:before="60"/>
      </w:pPr>
      <w:r>
        <w:rPr>
          <w:rFonts w:ascii="Arial" w:cs="Arial" w:eastAsia="Arial" w:hAnsi="Arial"/>
          <w:color w:val="1A1A1A"/>
          <w:sz w:val="20"/>
          <w:szCs w:val="20"/>
        </w:rPr>
        <w:t xml:space="preserve">STATUTORY FRAUD: Despite payroll deductions being made, evidence suggests a failure to remit UIF levies as far back as June 2025.</w:t>
      </w:r>
    </w:p>
    <w:p>
      <w:pPr>
        <w:pStyle w:val="ListParagraph"/>
        <w:numPr>
          <w:ilvl w:val="0"/>
          <w:numId w:val="2"/>
        </w:numPr>
        <w:spacing w:after="80" w:before="60"/>
      </w:pPr>
      <w:r>
        <w:rPr>
          <w:rFonts w:ascii="Arial" w:cs="Arial" w:eastAsia="Arial" w:hAnsi="Arial"/>
          <w:color w:val="1A1A1A"/>
          <w:sz w:val="20"/>
          <w:szCs w:val="20"/>
        </w:rPr>
        <w:t xml:space="preserve">THE BLOCKADE: By misrepresenting his exit as a 'voluntary resignation' rather than constructive dismissal following a protected disclosure, the company has effectively deadlocked his access to social security.</w:t>
      </w:r>
    </w:p>
    <w:p>
      <w:pPr>
        <w:spacing w:after="80" w:before="0"/>
      </w:pPr>
    </w:p>
    <w:p>
      <w:pPr>
        <w:spacing w:after="120" w:before="80"/>
      </w:pPr>
      <w:r>
        <w:rPr>
          <w:rFonts w:ascii="Arial" w:cs="Arial" w:eastAsia="Arial" w:hAnsi="Arial"/>
          <w:color w:val="1A1A1A"/>
          <w:sz w:val="20"/>
          <w:szCs w:val="20"/>
        </w:rPr>
        <w:t xml:space="preserve">Today, a NQF 8 professional — a man qualified to manage the clinical architecture of entire health systems — lives without running water, facing imminent eviction, his personal possessions seized.</w:t>
      </w:r>
    </w:p>
    <w:p>
      <w:pPr>
        <w:spacing w:after="140" w:before="0"/>
      </w:pPr>
    </w:p>
    <w:p>
      <w:pPr>
        <w:shd w:fill="1A2B4C" w:val="clear"/>
        <w:spacing w:after="140" w:before="280"/>
      </w:pPr>
      <w:r>
        <w:rPr>
          <w:rFonts w:ascii="Arial" w:cs="Arial" w:eastAsia="Arial" w:hAnsi="Arial"/>
          <w:b/>
          <w:bCs/>
          <w:caps w:val="false"/>
          <w:color w:val="C9973A"/>
          <w:sz w:val="24"/>
          <w:szCs w:val="24"/>
        </w:rPr>
        <w:t xml:space="preserve">§ 3 — THE GREAT INSTITUTIONAL ABANDONMENT</w:t>
      </w:r>
    </w:p>
    <w:p>
      <w:pPr>
        <w:spacing w:after="60" w:before="0"/>
      </w:pPr>
    </w:p>
    <w:p>
      <w:pPr>
        <w:spacing w:after="120" w:before="80"/>
      </w:pPr>
      <w:r>
        <w:rPr>
          <w:rFonts w:ascii="Arial" w:cs="Arial" w:eastAsia="Arial" w:hAnsi="Arial"/>
          <w:color w:val="1A1A1A"/>
          <w:sz w:val="20"/>
          <w:szCs w:val="20"/>
        </w:rPr>
        <w:t xml:space="preserve">Perhaps more chilling than the corporate aggression is the absolute silence from the guardians of the public interest. Matthee's supplementary affidavit, supported by 22 forensic annexures, maps a 'Hall of Silence' implicating the highest levels of the South African state:</w:t>
      </w:r>
    </w:p>
    <w:p>
      <w:pPr>
        <w:spacing w:after="60" w:before="0"/>
      </w:pPr>
    </w:p>
    <w:p>
      <w:pPr>
        <w:pStyle w:val="ListParagraph"/>
        <w:numPr>
          <w:ilvl w:val="0"/>
          <w:numId w:val="2"/>
        </w:numPr>
        <w:spacing w:after="80" w:before="60"/>
      </w:pPr>
      <w:r>
        <w:rPr>
          <w:rFonts w:ascii="Arial" w:cs="Arial" w:eastAsia="Arial" w:hAnsi="Arial"/>
          <w:color w:val="1A1A1A"/>
          <w:sz w:val="20"/>
          <w:szCs w:val="20"/>
        </w:rPr>
        <w:t xml:space="preserve">THE SAPS REFUSAL: Despite documented statutory fraud, the South African Police Service reportedly refused to open a fraud case, protecting the powerful from the paperwork of the poor.</w:t>
      </w:r>
    </w:p>
    <w:p>
      <w:pPr>
        <w:pStyle w:val="ListParagraph"/>
        <w:numPr>
          <w:ilvl w:val="0"/>
          <w:numId w:val="2"/>
        </w:numPr>
        <w:spacing w:after="80" w:before="60"/>
      </w:pPr>
      <w:r>
        <w:rPr>
          <w:rFonts w:ascii="Arial" w:cs="Arial" w:eastAsia="Arial" w:hAnsi="Arial"/>
          <w:color w:val="1A1A1A"/>
          <w:sz w:val="20"/>
          <w:szCs w:val="20"/>
        </w:rPr>
        <w:t xml:space="preserve">THE SANC &amp; NURSING LEADERSHIP: The Chief Nursing Officer, Director of Nursing, and the South African Nursing Council have remained silent as one of their most highly qualified specialists is hunted through the courts for reporting clinical risk.</w:t>
      </w:r>
    </w:p>
    <w:p>
      <w:pPr>
        <w:pStyle w:val="ListParagraph"/>
        <w:numPr>
          <w:ilvl w:val="0"/>
          <w:numId w:val="2"/>
        </w:numPr>
        <w:spacing w:after="80" w:before="60"/>
      </w:pPr>
      <w:r>
        <w:rPr>
          <w:rFonts w:ascii="Arial" w:cs="Arial" w:eastAsia="Arial" w:hAnsi="Arial"/>
          <w:color w:val="1A1A1A"/>
          <w:sz w:val="20"/>
          <w:szCs w:val="20"/>
        </w:rPr>
        <w:t xml:space="preserve">THE CMS &amp; B-BBEE WITHDRAWAL: The Council for Medical Schemes has engaged in what Matthee calls 'buck-passing,' while a formal withdrawal of B-BBEE support following forensic payroll anomalies has vanished into the bureaucratic ether.</w:t>
      </w:r>
    </w:p>
    <w:p>
      <w:pPr>
        <w:pStyle w:val="ListParagraph"/>
        <w:numPr>
          <w:ilvl w:val="0"/>
          <w:numId w:val="2"/>
        </w:numPr>
        <w:spacing w:after="80" w:before="60"/>
      </w:pPr>
      <w:r>
        <w:rPr>
          <w:rFonts w:ascii="Arial" w:cs="Arial" w:eastAsia="Arial" w:hAnsi="Arial"/>
          <w:color w:val="1A1A1A"/>
          <w:sz w:val="20"/>
          <w:szCs w:val="20"/>
        </w:rPr>
        <w:t xml:space="preserve">THE MINISTER OF HEALTH: Despite the 9.5% 'Governance Tax' being passed onto government employees, the Ministry remains a spectator to the destruction of the very specialist who identified the integration gaps draining scheme resources.</w:t>
      </w:r>
    </w:p>
    <w:p>
      <w:pPr>
        <w:spacing w:after="140" w:before="0"/>
      </w:pPr>
    </w:p>
    <w:p>
      <w:pPr>
        <w:shd w:fill="1A2B4C" w:val="clear"/>
        <w:spacing w:after="140" w:before="280"/>
      </w:pPr>
      <w:r>
        <w:rPr>
          <w:rFonts w:ascii="Arial" w:cs="Arial" w:eastAsia="Arial" w:hAnsi="Arial"/>
          <w:b/>
          <w:bCs/>
          <w:caps w:val="false"/>
          <w:color w:val="C9973A"/>
          <w:sz w:val="24"/>
          <w:szCs w:val="24"/>
        </w:rPr>
        <w:t xml:space="preserve">§ 4 — THE CCMA COVER-UP AND JUDICIAL OBSTRUCTION</w:t>
      </w:r>
    </w:p>
    <w:p>
      <w:pPr>
        <w:spacing w:after="60" w:before="0"/>
      </w:pPr>
    </w:p>
    <w:p>
      <w:pPr>
        <w:spacing w:after="120" w:before="80"/>
      </w:pPr>
      <w:r>
        <w:rPr>
          <w:rFonts w:ascii="Arial" w:cs="Arial" w:eastAsia="Arial" w:hAnsi="Arial"/>
          <w:color w:val="1A1A1A"/>
          <w:sz w:val="20"/>
          <w:szCs w:val="20"/>
        </w:rPr>
        <w:t xml:space="preserve">Matthee's papers detail a CCMA cover-up where vital evidence was suppressed, and a Labour Court process that has been met with systematic obstruction. Even the High Court, which granted the initial interim order on 16 April 2026, has remained silent in the face of Matthee's urgent supplementary filings detailing his humanitarian crisis.</w:t>
      </w:r>
    </w:p>
    <w:p>
      <w:pPr>
        <w:spacing w:after="140" w:before="0"/>
      </w:pPr>
    </w:p>
    <w:p>
      <w:pPr>
        <w:shd w:fill="1A2B4C" w:val="clear"/>
        <w:spacing w:after="140" w:before="280"/>
      </w:pPr>
      <w:r>
        <w:rPr>
          <w:rFonts w:ascii="Arial" w:cs="Arial" w:eastAsia="Arial" w:hAnsi="Arial"/>
          <w:b/>
          <w:bCs/>
          <w:caps w:val="false"/>
          <w:color w:val="C9973A"/>
          <w:sz w:val="24"/>
          <w:szCs w:val="24"/>
        </w:rPr>
        <w:t xml:space="preserve">§ 5 — THE SNIPER IN THE DARK: PROCEDURAL PRECISION</w:t>
      </w:r>
    </w:p>
    <w:p>
      <w:pPr>
        <w:spacing w:after="60" w:before="0"/>
      </w:pPr>
    </w:p>
    <w:p>
      <w:pPr>
        <w:spacing w:after="120" w:before="80"/>
      </w:pPr>
      <w:r>
        <w:rPr>
          <w:rFonts w:ascii="Arial" w:cs="Arial" w:eastAsia="Arial" w:hAnsi="Arial"/>
          <w:color w:val="1A1A1A"/>
          <w:sz w:val="20"/>
          <w:szCs w:val="20"/>
        </w:rPr>
        <w:t xml:space="preserve">Goliath made a critical miscalculation — they assumed destitution would lead to a lack of diligence. Matthee, acting in person from a home without utilities, has not taken his eyes off the procedural record. By utilising Paragraph 7 of the interim order, he has turned the corporation's exhaustion strategy into a high-speed forensic audit. He has set the trap:</w:t>
      </w:r>
    </w:p>
    <w:p>
      <w:pPr>
        <w:spacing w:after="60" w:before="0"/>
      </w:pPr>
    </w:p>
    <w:p>
      <w:pPr>
        <w:pStyle w:val="ListParagraph"/>
        <w:numPr>
          <w:ilvl w:val="0"/>
          <w:numId w:val="3"/>
        </w:numPr>
        <w:spacing w:after="80" w:before="60"/>
      </w:pPr>
      <w:r>
        <w:rPr>
          <w:rFonts w:ascii="Arial" w:cs="Arial" w:eastAsia="Arial" w:hAnsi="Arial"/>
          <w:color w:val="1A1A1A"/>
          <w:sz w:val="20"/>
          <w:szCs w:val="20"/>
        </w:rPr>
        <w:t xml:space="preserve">Demand the 'Naming Convention' recording and APM 3:03 logs that expose the 9.5% Governance Tax.</w:t>
      </w:r>
    </w:p>
    <w:p>
      <w:pPr>
        <w:pStyle w:val="ListParagraph"/>
        <w:numPr>
          <w:ilvl w:val="0"/>
          <w:numId w:val="3"/>
        </w:numPr>
        <w:spacing w:after="80" w:before="60"/>
      </w:pPr>
      <w:r>
        <w:rPr>
          <w:rFonts w:ascii="Arial" w:cs="Arial" w:eastAsia="Arial" w:hAnsi="Arial"/>
          <w:color w:val="1A1A1A"/>
          <w:sz w:val="20"/>
          <w:szCs w:val="20"/>
        </w:rPr>
        <w:t xml:space="preserve">Force the Applicant to choose between producing the documents that prove their bad faith, or withholding them and admitting to 'Unclean Hands.'</w:t>
      </w:r>
    </w:p>
    <w:p>
      <w:pPr>
        <w:spacing w:after="140" w:before="0"/>
      </w:pPr>
    </w:p>
    <w:p>
      <w:pPr>
        <w:pBdr>
          <w:bottom w:val="single" w:color="8B1A1A" w:sz="8" w:space="1"/>
        </w:pBdr>
        <w:spacing w:after="0" w:before="0"/>
      </w:pPr>
    </w:p>
    <w:p>
      <w:pPr>
        <w:spacing w:after="120" w:before="0"/>
      </w:pPr>
    </w:p>
    <w:p>
      <w:pPr>
        <w:spacing w:after="80" w:before="80"/>
        <w:jc w:val="center"/>
      </w:pPr>
      <w:r>
        <w:rPr>
          <w:rFonts w:ascii="Arial" w:cs="Arial" w:eastAsia="Arial" w:hAnsi="Arial"/>
          <w:b/>
          <w:bCs/>
          <w:color w:val="1A2B4C"/>
          <w:sz w:val="28"/>
          <w:szCs w:val="28"/>
        </w:rPr>
        <w:t xml:space="preserve">THE VERDICT OF THE VOID</w:t>
      </w:r>
    </w:p>
    <w:p>
      <w:pPr>
        <w:pBdr>
          <w:bottom w:val="single" w:color="8B1A1A" w:sz="8" w:space="1"/>
        </w:pBdr>
        <w:spacing w:after="0" w:before="0"/>
      </w:pPr>
    </w:p>
    <w:p>
      <w:pPr>
        <w:spacing w:after="120" w:before="0"/>
      </w:pPr>
    </w:p>
    <w:p>
      <w:pPr>
        <w:spacing w:after="120" w:before="80"/>
      </w:pPr>
      <w:r>
        <w:rPr>
          <w:rFonts w:ascii="Arial" w:cs="Arial" w:eastAsia="Arial" w:hAnsi="Arial"/>
          <w:color w:val="1A1A1A"/>
          <w:sz w:val="20"/>
          <w:szCs w:val="20"/>
        </w:rPr>
        <w:t xml:space="preserve">As the Friday deadline approaches, the story is no longer about an interdict. It is about a system that allows a corporation to utilise the High Court as a 'starvation chamber' for whistleblowers. Wilbur Matthee has lost his water, his home, and his income — but he has kept the receipts.</w:t>
      </w:r>
    </w:p>
    <w:p>
      <w:pPr>
        <w:spacing w:after="80" w:before="0"/>
      </w:pPr>
    </w:p>
    <w:p>
      <w:pPr>
        <w:spacing w:after="120" w:before="80"/>
      </w:pPr>
      <w:r>
        <w:rPr>
          <w:rFonts w:ascii="Arial" w:cs="Arial" w:eastAsia="Arial" w:hAnsi="Arial"/>
          <w:color w:val="1A1A1A"/>
          <w:sz w:val="20"/>
          <w:szCs w:val="20"/>
        </w:rPr>
        <w:t xml:space="preserve">The question for the High Court on Monday is simple: Will the law protect the trade secrets of a corporation caught in material misrepresentation, or will it protect the Specialist Nurse who dared to point out that the Emperor's 9.5% increase has no clothes?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F2F4F7" w:val="clear"/>
            <w:tcMar>
              <w:top w:type="dxa" w:w="160"/>
              <w:left w:type="dxa" w:w="360"/>
              <w:bottom w:type="dxa" w:w="160"/>
              <w:right w:type="dxa" w:w="360"/>
            </w:tcMar>
          </w:tcPr>
          <w:p>
            <w:pPr>
              <w:jc w:val="center"/>
            </w:pPr>
            <w:r>
              <w:rPr>
                <w:rFonts w:ascii="Arial" w:cs="Arial" w:eastAsia="Arial" w:hAnsi="Arial"/>
                <w:b/>
                <w:bCs/>
                <w:i/>
                <w:iCs/>
                <w:color w:val="8B1A1A"/>
                <w:sz w:val="22"/>
                <w:szCs w:val="22"/>
              </w:rPr>
              <w:t xml:space="preserve">"The world is watching. Goliath is bleeding from a procedural wound. And the Nurse Specialist is still standing."</w:t>
            </w:r>
          </w:p>
        </w:tc>
      </w:tr>
    </w:tbl>
    <w:p>
      <w:pPr>
        <w:spacing w:after="160" w:before="0"/>
      </w:pPr>
    </w:p>
    <w:p>
      <w:pPr>
        <w:pBdr>
          <w:bottom w:val="single" w:color="C9973A" w:sz="6" w:space="1"/>
        </w:pBdr>
        <w:spacing w:after="0" w:before="0"/>
      </w:pPr>
    </w:p>
    <w:p>
      <w:pPr>
        <w:spacing w:after="100" w:before="0"/>
      </w:pPr>
    </w:p>
    <w:p>
      <w:pPr>
        <w:spacing w:after="80" w:before="60"/>
      </w:pPr>
      <w:r>
        <w:rPr>
          <w:rFonts w:ascii="Arial" w:cs="Arial" w:eastAsia="Arial" w:hAnsi="Arial"/>
          <w:b/>
          <w:bCs/>
          <w:color w:val="1A2B4C"/>
          <w:sz w:val="22"/>
          <w:szCs w:val="22"/>
        </w:rPr>
        <w:t xml:space="preserve">ABOUT ETHICHAWKS</w:t>
      </w:r>
    </w:p>
    <w:p>
      <w:pPr>
        <w:spacing w:after="120" w:before="80"/>
      </w:pPr>
      <w:r>
        <w:rPr>
          <w:rFonts w:ascii="Arial" w:cs="Arial" w:eastAsia="Arial" w:hAnsi="Arial"/>
          <w:color w:val="1A1A1A"/>
          <w:sz w:val="20"/>
          <w:szCs w:val="20"/>
        </w:rPr>
        <w:t xml:space="preserve">EthicHawks Forensic Governance &amp; Compliance Consultancy is a Cape Town-based specialist firm operating at the intersection of clinical governance, regulatory accountability, and forensic risk architecture. Founded by Specialist Registered Nurse Wilbur William Matthee (NQF 8, Postgraduate Diploma in Health Services Management, CPUT), EthicHawks provides forensic investigative reports, regulatory compliance audits, and expert representation to healthcare entities, labour forums, and regulatory bodies across South Africa.</w:t>
      </w:r>
    </w:p>
    <w:p>
      <w:pPr>
        <w:spacing w:after="60" w:before="0"/>
      </w:pPr>
    </w:p>
    <w:p>
      <w:pPr>
        <w:spacing w:after="80" w:before="60"/>
      </w:pPr>
      <w:r>
        <w:rPr>
          <w:rFonts w:ascii="Arial" w:cs="Arial" w:eastAsia="Arial" w:hAnsi="Arial"/>
          <w:b/>
          <w:bCs/>
          <w:color w:val="1A2B4C"/>
          <w:sz w:val="20"/>
          <w:szCs w:val="20"/>
        </w:rPr>
        <w:t xml:space="preserve">Media Contact: </w:t>
      </w:r>
      <w:r>
        <w:rPr>
          <w:rFonts w:ascii="Arial" w:cs="Arial" w:eastAsia="Arial" w:hAnsi="Arial"/>
          <w:color w:val="C9973A"/>
          <w:sz w:val="20"/>
          <w:szCs w:val="20"/>
        </w:rPr>
        <w:t xml:space="preserve">info@ethichawks.co.za</w:t>
      </w:r>
    </w:p>
    <w:p>
      <w:pPr>
        <w:pBdr>
          <w:bottom w:val="single" w:color="C9973A" w:sz="4" w:space="1"/>
        </w:pBdr>
        <w:spacing w:after="0" w:before="0"/>
      </w:pPr>
    </w:p>
    <w:p>
      <w:pPr>
        <w:spacing w:after="60" w:before="0"/>
      </w:pPr>
    </w:p>
    <w:p>
      <w:pPr>
        <w:jc w:val="center"/>
      </w:pPr>
      <w:r>
        <w:rPr>
          <w:rFonts w:ascii="Arial" w:cs="Arial" w:eastAsia="Arial" w:hAnsi="Arial"/>
          <w:b/>
          <w:bCs/>
          <w:color w:val="1A2B4C"/>
          <w:sz w:val="18"/>
          <w:szCs w:val="18"/>
        </w:rPr>
        <w:t xml:space="preserve">— END OF PRESS RELEASE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3A" w:sz="4" w:space="1"/>
      </w:pBdr>
      <w:tabs>
        <w:tab w:val="right" w:pos="9360"/>
      </w:tabs>
      <w:spacing w:after="0" w:before="80"/>
    </w:pPr>
    <w:r>
      <w:rPr>
        <w:rFonts w:ascii="Arial" w:cs="Arial" w:eastAsia="Arial" w:hAnsi="Arial"/>
        <w:color w:val="1A2B4C"/>
        <w:sz w:val="16"/>
        <w:szCs w:val="16"/>
      </w:rPr>
      <w:t xml:space="preserve">STRICTLY EMBARGOED — FOR MEDIA USE ONLY  |  info@ethichawks.co.za</w:t>
    </w:r>
    <w:r>
      <w:rPr>
        <w:sz w:val="16"/>
        <w:szCs w:val="16"/>
      </w:rPr>
      <w:t xml:space="preserve">	</w:t>
    </w:r>
    <w:r>
      <w:rPr>
        <w:rFonts w:ascii="Arial" w:cs="Arial" w:eastAsia="Arial" w:hAnsi="Arial"/>
        <w:color w:val="1A2B4C"/>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6" w:space="1"/>
      </w:pBdr>
      <w:spacing w:after="100" w:before="0"/>
    </w:pPr>
    <w:r>
      <w:rPr>
        <w:rFonts w:ascii="Arial" w:cs="Arial" w:eastAsia="Arial" w:hAnsi="Arial"/>
        <w:b/>
        <w:bCs/>
        <w:color w:val="1A2B4C"/>
        <w:sz w:val="26"/>
        <w:szCs w:val="26"/>
      </w:rPr>
      <w:t xml:space="preserve">EthicHawks</w:t>
    </w:r>
    <w:r>
      <w:rPr>
        <w:rFonts w:ascii="Arial" w:cs="Arial" w:eastAsia="Arial" w:hAnsi="Arial"/>
        <w:color w:val="C9973A"/>
        <w:sz w:val="20"/>
        <w:szCs w:val="20"/>
      </w:rPr>
      <w:t xml:space="preserve">  |  Forensic Governance &amp; Compliance Consultancy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2026-04-20T17:57:06.403Z</dcterms:created>
  <dcterms:modified xsi:type="dcterms:W3CDTF">2026-04-20T17:57:06.405Z</dcterms:modified>
</cp:coreProperties>
</file>

<file path=docProps/custom.xml><?xml version="1.0" encoding="utf-8"?>
<Properties xmlns="http://schemas.openxmlformats.org/officeDocument/2006/custom-properties" xmlns:vt="http://schemas.openxmlformats.org/officeDocument/2006/docPropsVTypes"/>
</file>