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1A3557"/>
          <w:sz w:val="280"/>
          <w:szCs w:val="280"/>
        </w:rPr>
        <w:t xml:space="preserve">IN THE LABOUR COURT OF SOUTH AFRICA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1A3557"/>
          <w:sz w:val="280"/>
          <w:szCs w:val="280"/>
        </w:rPr>
        <w:t xml:space="preserve">CAPE TOWN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80" w:before="0"/>
      </w:pP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3557"/>
          <w:sz w:val="400"/>
          <w:szCs w:val="400"/>
        </w:rPr>
        <w:t xml:space="preserve">MATTHEE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555555"/>
          <w:sz w:val="280"/>
          <w:szCs w:val="280"/>
        </w:rPr>
        <w:t xml:space="preserve">v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3557"/>
          <w:sz w:val="400"/>
          <w:szCs w:val="400"/>
        </w:rPr>
        <w:t xml:space="preserve">AFROCENTRIC HEALTH (RF) (PTY) LTD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3557"/>
          <w:sz w:val="280"/>
          <w:szCs w:val="280"/>
        </w:rPr>
        <w:t xml:space="preserve">&amp; MEDSCHEME HOLDINGS (PTY) LTD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20" w:before="0"/>
      </w:pP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1A3557"/>
          <w:sz w:val="360"/>
          <w:szCs w:val="360"/>
        </w:rPr>
        <w:t xml:space="preserve">INDEX AND ANNEXURE BUNDLE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444444"/>
          <w:sz w:val="260"/>
          <w:szCs w:val="260"/>
        </w:rPr>
        <w:t xml:space="preserve">Statement of Claim — 9 April 2026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20"/>
          <w:szCs w:val="220"/>
        </w:rPr>
        <w:t xml:space="preserve">Rule 6, Rules for the Conduct of Proceedings before the Labour Court</w:t>
      </w:r>
    </w:p>
    <w:p>
      <w:pPr>
        <w:spacing w:after="80" w:before="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c>
          <w:tcPr>
            <w:tcW w:type="dxa" w:w="2400"/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0"/>
                <w:szCs w:val="220"/>
              </w:rPr>
              <w:t xml:space="preserve">Applicant</w:t>
            </w:r>
          </w:p>
        </w:tc>
        <w:tc>
          <w:tcPr>
            <w:tcW w:type="dxa" w:w="4600"/>
            <w:shd w:fill="E8EC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0"/>
                <w:szCs w:val="220"/>
              </w:rPr>
              <w:t xml:space="preserve">Wilbur William Matthee (Self-Represented)</w:t>
            </w:r>
          </w:p>
        </w:tc>
      </w:tr>
      <w:tr>
        <w:tc>
          <w:tcPr>
            <w:tcW w:type="dxa" w:w="2400"/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0"/>
                <w:szCs w:val="220"/>
              </w:rPr>
              <w:t xml:space="preserve">Email</w:t>
            </w:r>
          </w:p>
        </w:tc>
        <w:tc>
          <w:tcPr>
            <w:tcW w:type="dxa" w:w="4600"/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0"/>
                <w:szCs w:val="220"/>
              </w:rPr>
              <w:t xml:space="preserve">info@ethichawks.co.za</w:t>
            </w:r>
          </w:p>
        </w:tc>
      </w:tr>
      <w:tr>
        <w:tc>
          <w:tcPr>
            <w:tcW w:type="dxa" w:w="2400"/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0"/>
                <w:szCs w:val="220"/>
              </w:rPr>
              <w:t xml:space="preserve">CCMA Cases</w:t>
            </w:r>
          </w:p>
        </w:tc>
        <w:tc>
          <w:tcPr>
            <w:tcW w:type="dxa" w:w="4600"/>
            <w:shd w:fill="E8EC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0"/>
                <w:szCs w:val="220"/>
              </w:rPr>
              <w:t xml:space="preserve">WECT23564-25 | WECT24486-25</w:t>
            </w:r>
          </w:p>
        </w:tc>
      </w:tr>
      <w:tr>
        <w:tc>
          <w:tcPr>
            <w:tcW w:type="dxa" w:w="2400"/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0"/>
                <w:szCs w:val="220"/>
              </w:rPr>
              <w:t xml:space="preserve">BCEA Case No.</w:t>
            </w:r>
          </w:p>
        </w:tc>
        <w:tc>
          <w:tcPr>
            <w:tcW w:type="dxa" w:w="4600"/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0"/>
                <w:szCs w:val="220"/>
              </w:rPr>
              <w:t xml:space="preserve">2026-077546</w:t>
            </w:r>
          </w:p>
        </w:tc>
      </w:tr>
      <w:tr>
        <w:tc>
          <w:tcPr>
            <w:tcW w:type="dxa" w:w="2400"/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0"/>
                <w:szCs w:val="220"/>
              </w:rPr>
              <w:t xml:space="preserve">Date Filed</w:t>
            </w:r>
          </w:p>
        </w:tc>
        <w:tc>
          <w:tcPr>
            <w:tcW w:type="dxa" w:w="4600"/>
            <w:shd w:fill="E8EC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0"/>
                <w:szCs w:val="220"/>
              </w:rPr>
              <w:t xml:space="preserve">9 April 2026</w:t>
            </w:r>
          </w:p>
        </w:tc>
      </w:tr>
      <w:tr>
        <w:tc>
          <w:tcPr>
            <w:tcW w:type="dxa" w:w="2400"/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0"/>
                <w:szCs w:val="220"/>
              </w:rPr>
              <w:t xml:space="preserve">Total Annexures</w:t>
            </w:r>
          </w:p>
        </w:tc>
        <w:tc>
          <w:tcPr>
            <w:tcW w:type="dxa" w:w="4600"/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0"/>
                <w:szCs w:val="220"/>
              </w:rPr>
              <w:t xml:space="preserve">28 documents</w:t>
            </w:r>
          </w:p>
        </w:tc>
      </w:tr>
    </w:tbl>
    <w:p>
      <w:pPr>
        <w:spacing w:after="200" w:before="0"/>
      </w:pPr>
    </w:p>
    <w:p>
      <w:pPr>
        <w:pBdr>
          <w:bottom w:val="single" w:color="1A3557" w:sz="4" w:space="1"/>
        </w:pBdr>
        <w:spacing w:after="60" w:before="60"/>
      </w:pPr>
    </w:p>
    <w:p>
      <w:pPr>
        <w:spacing w:after="80" w:before="0"/>
      </w:pPr>
    </w:p>
    <w:p>
      <w:r>
        <w:br w:type="page"/>
      </w:r>
    </w:p>
    <w:p>
      <w:pPr>
        <w:pBdr>
          <w:bottom w:val="single" w:color="1A3557" w:sz="6" w:space="4"/>
        </w:pBdr>
        <w:spacing w:after="120" w:before="0"/>
      </w:pPr>
      <w:r>
        <w:rPr>
          <w:rFonts w:ascii="Times New Roman" w:cs="Times New Roman" w:eastAsia="Times New Roman" w:hAnsi="Times New Roman"/>
          <w:b/>
          <w:bCs/>
          <w:caps/>
          <w:color w:val="1A3557"/>
          <w:sz w:val="260"/>
          <w:szCs w:val="260"/>
        </w:rPr>
        <w:t xml:space="preserve">INTRODUCTORY NOTE TO THE REGISTRAR AND RESPONDENTS</w:t>
      </w:r>
    </w:p>
    <w:p>
      <w:pPr>
        <w:spacing w:after="80" w:before="0"/>
      </w:pPr>
    </w:p>
    <w:p>
      <w:pPr>
        <w:spacing w:after="8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0"/>
          <w:szCs w:val="240"/>
        </w:rPr>
        <w:t xml:space="preserve">1.	This Index and Annexure Bundle is filed together with the Statement of Claim by the Applicant, Wilbur William Matthee, in his self-represented capacity.</w:t>
      </w:r>
    </w:p>
    <w:p>
      <w:pPr>
        <w:spacing w:after="8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0"/>
          <w:szCs w:val="240"/>
        </w:rPr>
        <w:t xml:space="preserve">2.	The bundle comprises 28 annexures, designated Annexures "A" through "Z", "P1 RISK", and "PDA BILL". Each annexure is preceded by a coloured divider tab identifying its reference designation, title, date, and the Part of the Statement of Claim to which it relates.</w:t>
      </w:r>
    </w:p>
    <w:p>
      <w:pPr>
        <w:spacing w:after="8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0"/>
          <w:szCs w:val="240"/>
        </w:rPr>
        <w:t xml:space="preserve">3.	The purpose of the divider tab system is to assist the Registrar, the presiding Judge, and the Respondents' legal representatives in locating documents efficiently during proceedings. Cross-references in the Statement of Claim to any Annexure (e.g., Annexure "N") may be resolved by locating the corresponding tab in this bundle.</w:t>
      </w:r>
    </w:p>
    <w:p>
      <w:pPr>
        <w:spacing w:after="8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0"/>
          <w:szCs w:val="240"/>
        </w:rPr>
        <w:t xml:space="preserve">4.	All annexures are documents within the Applicant's personal knowledge, obtained in the course of his employment with the Second Respondent or from regulatory or judicial processes arising from his employment.</w:t>
      </w:r>
    </w:p>
    <w:p>
      <w:pPr>
        <w:spacing w:after="8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0"/>
          <w:szCs w:val="240"/>
        </w:rPr>
        <w:t xml:space="preserve">5.	Where a document is redacted, the redaction is limited to the personal information of third parties (e.g., GEMS member identity numbers) consistent with the Protection of Personal Information Act 4 of 2013 ("POPIA"). No redaction has been applied to any information material to the issues in dispute.</w:t>
      </w:r>
    </w:p>
    <w:p>
      <w:pPr>
        <w:spacing w:after="8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0"/>
          <w:szCs w:val="240"/>
        </w:rPr>
        <w:t xml:space="preserve">6.	Annexure "Z" (EthicHawks Master Chronological Register) constitutes a comprehensive forensic chronology of 148 material events from 11 January 2024 to 2 April 2026. It is commended to the Court as a navigational aid to the voluminous factual record.</w:t>
      </w:r>
    </w:p>
    <w:p>
      <w:pPr>
        <w:spacing w:after="8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0"/>
          <w:szCs w:val="240"/>
        </w:rPr>
        <w:t xml:space="preserve">7.	The Applicant confirms that each document attached herein is a true and accurate copy of the original, save where indicated to the contrary on the relevant divider tab.</w:t>
      </w:r>
    </w:p>
    <w:p>
      <w:pPr>
        <w:spacing w:after="120" w:before="0"/>
      </w:pPr>
    </w:p>
    <w:p>
      <w:r>
        <w:br w:type="page"/>
      </w:r>
    </w:p>
    <w:p>
      <w:pPr>
        <w:pBdr>
          <w:bottom w:val="single" w:color="1A3557" w:sz="6" w:space="4"/>
        </w:pBdr>
        <w:spacing w:after="120" w:before="0"/>
      </w:pPr>
      <w:r>
        <w:rPr>
          <w:rFonts w:ascii="Times New Roman" w:cs="Times New Roman" w:eastAsia="Times New Roman" w:hAnsi="Times New Roman"/>
          <w:b/>
          <w:bCs/>
          <w:caps/>
          <w:color w:val="1A3557"/>
          <w:sz w:val="260"/>
          <w:szCs w:val="260"/>
        </w:rPr>
        <w:t xml:space="preserve">MASTER INDEX OF ANNEXURES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000"/>
        <w:gridCol w:w="2026"/>
      </w:tblGrid>
      <w:tr>
        <w:tc>
          <w:tcPr>
            <w:tcW w:type="dxa" w:w="700"/>
            <w:shd w:fill="1A355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0"/>
                <w:szCs w:val="200"/>
              </w:rPr>
              <w:t xml:space="preserve">Tab</w:t>
            </w:r>
          </w:p>
        </w:tc>
        <w:tc>
          <w:tcPr>
            <w:tcW w:type="dxa" w:w="4300"/>
            <w:shd w:fill="1A35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0"/>
                <w:szCs w:val="200"/>
              </w:rPr>
              <w:t xml:space="preserve">Description</w:t>
            </w:r>
          </w:p>
        </w:tc>
        <w:tc>
          <w:tcPr>
            <w:tcW w:type="dxa" w:w="2000"/>
            <w:shd w:fill="1A35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0"/>
                <w:szCs w:val="200"/>
              </w:rPr>
              <w:t xml:space="preserve">Relevance (Part)</w:t>
            </w:r>
          </w:p>
        </w:tc>
        <w:tc>
          <w:tcPr>
            <w:tcW w:type="dxa" w:w="2026"/>
            <w:shd w:fill="1A355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0"/>
                <w:szCs w:val="200"/>
              </w:rPr>
              <w:t xml:space="preserve">Date</w:t>
            </w:r>
          </w:p>
        </w:tc>
      </w:tr>
      <w:tr>
        <w:tc>
          <w:tcPr>
            <w:tcW w:type="dxa" w:w="700"/>
            <w:shd w:fill="E8EC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"A"</w:t>
            </w:r>
          </w:p>
        </w:tc>
        <w:tc>
          <w:tcPr>
            <w:tcW w:type="dxa" w:w="43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Interview invitations for 'Specialist: Care Manager' role</w:t>
            </w:r>
          </w:p>
        </w:tc>
        <w:tc>
          <w:tcPr>
            <w:tcW w:type="dxa" w:w="20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C — Employment Relationship</w:t>
            </w:r>
          </w:p>
        </w:tc>
        <w:tc>
          <w:tcPr>
            <w:tcW w:type="dxa" w:w="2026"/>
            <w:shd w:fill="E8EC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January 2024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"B"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Assessment instructions — Specialist: Care Manager (29 January 2024)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C — Employment Relationship</w:t>
            </w:r>
          </w:p>
        </w:tc>
        <w:tc>
          <w:tcPr>
            <w:tcW w:type="dxa" w:w="20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29 January 2024</w:t>
            </w:r>
          </w:p>
        </w:tc>
      </w:tr>
      <w:tr>
        <w:tc>
          <w:tcPr>
            <w:tcW w:type="dxa" w:w="700"/>
            <w:shd w:fill="E8EC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"C"</w:t>
            </w:r>
          </w:p>
        </w:tc>
        <w:tc>
          <w:tcPr>
            <w:tcW w:type="dxa" w:w="43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Fingerprint criminal check booking confirmation</w:t>
            </w:r>
          </w:p>
        </w:tc>
        <w:tc>
          <w:tcPr>
            <w:tcW w:type="dxa" w:w="20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C — Employment Relationship</w:t>
            </w:r>
          </w:p>
        </w:tc>
        <w:tc>
          <w:tcPr>
            <w:tcW w:type="dxa" w:w="2026"/>
            <w:shd w:fill="E8EC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21 February 2024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"D"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Employment contract — 'Care Coordinator' (Grade B4M1)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C — Employment Relationship</w:t>
            </w:r>
          </w:p>
        </w:tc>
        <w:tc>
          <w:tcPr>
            <w:tcW w:type="dxa" w:w="20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9 April 2024</w:t>
            </w:r>
          </w:p>
        </w:tc>
      </w:tr>
      <w:tr>
        <w:tc>
          <w:tcPr>
            <w:tcW w:type="dxa" w:w="700"/>
            <w:shd w:fill="E8EC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"E"</w:t>
            </w:r>
          </w:p>
        </w:tc>
        <w:tc>
          <w:tcPr>
            <w:tcW w:type="dxa" w:w="43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First Aider roster and EHS directives drafted by Applicant</w:t>
            </w:r>
          </w:p>
        </w:tc>
        <w:tc>
          <w:tcPr>
            <w:tcW w:type="dxa" w:w="20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C — Employment Relationship</w:t>
            </w:r>
          </w:p>
        </w:tc>
        <w:tc>
          <w:tcPr>
            <w:tcW w:type="dxa" w:w="2026"/>
            <w:shd w:fill="E8EC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25 July 2025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"F"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Sick note — Dr Jacques Malan (Akeso Stepping Stones Clinic)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D — Mental Health / Disability</w:t>
            </w:r>
          </w:p>
        </w:tc>
        <w:tc>
          <w:tcPr>
            <w:tcW w:type="dxa" w:w="20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1 April 2025</w:t>
            </w:r>
          </w:p>
        </w:tc>
      </w:tr>
      <w:tr>
        <w:tc>
          <w:tcPr>
            <w:tcW w:type="dxa" w:w="700"/>
            <w:shd w:fill="E8EC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"G"</w:t>
            </w:r>
          </w:p>
        </w:tc>
        <w:tc>
          <w:tcPr>
            <w:tcW w:type="dxa" w:w="43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Mental health disclosure to Mapule Mashele (formal written notice of disability)</w:t>
            </w:r>
          </w:p>
        </w:tc>
        <w:tc>
          <w:tcPr>
            <w:tcW w:type="dxa" w:w="20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D — Mental Health / Disability</w:t>
            </w:r>
          </w:p>
        </w:tc>
        <w:tc>
          <w:tcPr>
            <w:tcW w:type="dxa" w:w="2026"/>
            <w:shd w:fill="E8EC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16 May 2025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"H"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Jones: "we do not apply staggering of money owed"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D — Mental Health / Disability</w:t>
            </w:r>
          </w:p>
        </w:tc>
        <w:tc>
          <w:tcPr>
            <w:tcW w:type="dxa" w:w="20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16 April 2025</w:t>
            </w:r>
          </w:p>
        </w:tc>
      </w:tr>
      <w:tr>
        <w:tc>
          <w:tcPr>
            <w:tcW w:type="dxa" w:w="700"/>
            <w:shd w:fill="E8EC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"I"</w:t>
            </w:r>
          </w:p>
        </w:tc>
        <w:tc>
          <w:tcPr>
            <w:tcW w:type="dxa" w:w="43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Payslip — July 2025 (R14,811.77 deduction; 40.47% of gross salary)</w:t>
            </w:r>
          </w:p>
        </w:tc>
        <w:tc>
          <w:tcPr>
            <w:tcW w:type="dxa" w:w="20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E — Unlawful Salary Deduction</w:t>
            </w:r>
          </w:p>
        </w:tc>
        <w:tc>
          <w:tcPr>
            <w:tcW w:type="dxa" w:w="2026"/>
            <w:shd w:fill="E8EC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July 2025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"J"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AOD Policy confirming 25% cap + "what is illegal?" exchange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E — Unlawful Salary Deduction</w:t>
            </w:r>
          </w:p>
        </w:tc>
        <w:tc>
          <w:tcPr>
            <w:tcW w:type="dxa" w:w="20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24 July 2025</w:t>
            </w:r>
          </w:p>
        </w:tc>
      </w:tr>
      <w:tr>
        <w:tc>
          <w:tcPr>
            <w:tcW w:type="dxa" w:w="700"/>
            <w:shd w:fill="E8EC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"K"</w:t>
            </w:r>
          </w:p>
        </w:tc>
        <w:tc>
          <w:tcPr>
            <w:tcW w:type="dxa" w:w="43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"Wilma" Microsoft Teams message (screenshot, team-wide channel)</w:t>
            </w:r>
          </w:p>
        </w:tc>
        <w:tc>
          <w:tcPr>
            <w:tcW w:type="dxa" w:w="20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F — Gender Identity Discrimination</w:t>
            </w:r>
          </w:p>
        </w:tc>
        <w:tc>
          <w:tcPr>
            <w:tcW w:type="dxa" w:w="2026"/>
            <w:shd w:fill="E8EC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23 September 2025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"L"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Formal discrimination complaint lodged with HR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F — Gender Identity Discrimination</w:t>
            </w:r>
          </w:p>
        </w:tc>
        <w:tc>
          <w:tcPr>
            <w:tcW w:type="dxa" w:w="20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25 September 2025</w:t>
            </w:r>
          </w:p>
        </w:tc>
      </w:tr>
      <w:tr>
        <w:tc>
          <w:tcPr>
            <w:tcW w:type="dxa" w:w="700"/>
            <w:shd w:fill="E8EC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"M"</w:t>
            </w:r>
          </w:p>
        </w:tc>
        <w:tc>
          <w:tcPr>
            <w:tcW w:type="dxa" w:w="43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Mashele investigation closure report ("typo" finding)</w:t>
            </w:r>
          </w:p>
        </w:tc>
        <w:tc>
          <w:tcPr>
            <w:tcW w:type="dxa" w:w="20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F — Gender Identity Discrimination</w:t>
            </w:r>
          </w:p>
        </w:tc>
        <w:tc>
          <w:tcPr>
            <w:tcW w:type="dxa" w:w="2026"/>
            <w:shd w:fill="E8EC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1 October 2025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"N"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Gexus/DMS root cause analysis and protected disclosure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G — Protected Disclosures</w:t>
            </w:r>
          </w:p>
        </w:tc>
        <w:tc>
          <w:tcPr>
            <w:tcW w:type="dxa" w:w="20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23 October 2025</w:t>
            </w:r>
          </w:p>
        </w:tc>
      </w:tr>
      <w:tr>
        <w:tc>
          <w:tcPr>
            <w:tcW w:type="dxa" w:w="700"/>
            <w:shd w:fill="E8EC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"O"</w:t>
            </w:r>
          </w:p>
        </w:tc>
        <w:tc>
          <w:tcPr>
            <w:tcW w:type="dxa" w:w="43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Transcript — 31 October 2025 meeting (retaliatory admission by Jones)</w:t>
            </w:r>
          </w:p>
        </w:tc>
        <w:tc>
          <w:tcPr>
            <w:tcW w:type="dxa" w:w="20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I — Retaliatory Intent</w:t>
            </w:r>
          </w:p>
        </w:tc>
        <w:tc>
          <w:tcPr>
            <w:tcW w:type="dxa" w:w="2026"/>
            <w:shd w:fill="E8EC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31 October 2025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"P"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Formal grievance against Jones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J — Institutional Silence</w:t>
            </w:r>
          </w:p>
        </w:tc>
        <w:tc>
          <w:tcPr>
            <w:tcW w:type="dxa" w:w="20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2 November 2025</w:t>
            </w:r>
          </w:p>
        </w:tc>
      </w:tr>
      <w:tr>
        <w:tc>
          <w:tcPr>
            <w:tcW w:type="dxa" w:w="700"/>
            <w:shd w:fill="E8EC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"Q"</w:t>
            </w:r>
          </w:p>
        </w:tc>
        <w:tc>
          <w:tcPr>
            <w:tcW w:type="dxa" w:w="43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Executive escalation bundle to leadership (32-page evidence bundle)</w:t>
            </w:r>
          </w:p>
        </w:tc>
        <w:tc>
          <w:tcPr>
            <w:tcW w:type="dxa" w:w="20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J — Institutional Silence</w:t>
            </w:r>
          </w:p>
        </w:tc>
        <w:tc>
          <w:tcPr>
            <w:tcW w:type="dxa" w:w="2026"/>
            <w:shd w:fill="E8EC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4 December 2025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"R"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Employer's opposing affidavit — CCMA (Xolile Vincent Manyathi)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K — Bad-Faith Affidavit</w:t>
            </w:r>
          </w:p>
        </w:tc>
        <w:tc>
          <w:tcPr>
            <w:tcW w:type="dxa" w:w="20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10 December 2025</w:t>
            </w:r>
          </w:p>
        </w:tc>
      </w:tr>
      <w:tr>
        <w:tc>
          <w:tcPr>
            <w:tcW w:type="dxa" w:w="700"/>
            <w:shd w:fill="E8EC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"S"</w:t>
            </w:r>
          </w:p>
        </w:tc>
        <w:tc>
          <w:tcPr>
            <w:tcW w:type="dxa" w:w="43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Resignation letter</w:t>
            </w:r>
          </w:p>
        </w:tc>
        <w:tc>
          <w:tcPr>
            <w:tcW w:type="dxa" w:w="20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L — Constructive Dismissal</w:t>
            </w:r>
          </w:p>
        </w:tc>
        <w:tc>
          <w:tcPr>
            <w:tcW w:type="dxa" w:w="2026"/>
            <w:shd w:fill="E8EC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11 December 2025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"T"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CPUT Postgraduate Diploma in Occupational Health Nursing — acceptance letter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M — Career Destruction</w:t>
            </w:r>
          </w:p>
        </w:tc>
        <w:tc>
          <w:tcPr>
            <w:tcW w:type="dxa" w:w="20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2026</w:t>
            </w:r>
          </w:p>
        </w:tc>
      </w:tr>
      <w:tr>
        <w:tc>
          <w:tcPr>
            <w:tcW w:type="dxa" w:w="700"/>
            <w:shd w:fill="E8EC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"U"</w:t>
            </w:r>
          </w:p>
        </w:tc>
        <w:tc>
          <w:tcPr>
            <w:tcW w:type="dxa" w:w="43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uFiling screenshot — 'No Information' for June 2025</w:t>
            </w:r>
          </w:p>
        </w:tc>
        <w:tc>
          <w:tcPr>
            <w:tcW w:type="dxa" w:w="20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N — Post-Resignation Victimisation</w:t>
            </w:r>
          </w:p>
        </w:tc>
        <w:tc>
          <w:tcPr>
            <w:tcW w:type="dxa" w:w="2026"/>
            <w:shd w:fill="E8EC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2026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"V"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Certificate of Service (disputed) + Naming Convention request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N — Post-Resignation Victimisation</w:t>
            </w:r>
          </w:p>
        </w:tc>
        <w:tc>
          <w:tcPr>
            <w:tcW w:type="dxa" w:w="20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January 2026</w:t>
            </w:r>
          </w:p>
        </w:tc>
      </w:tr>
      <w:tr>
        <w:tc>
          <w:tcPr>
            <w:tcW w:type="dxa" w:w="700"/>
            <w:shd w:fill="E8EC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"W"</w:t>
            </w:r>
          </w:p>
        </w:tc>
        <w:tc>
          <w:tcPr>
            <w:tcW w:type="dxa" w:w="43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CMS referral — 'Administrative Misconduct and Ethical Failure'</w:t>
            </w:r>
          </w:p>
        </w:tc>
        <w:tc>
          <w:tcPr>
            <w:tcW w:type="dxa" w:w="20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O — Regulatory Confirmation</w:t>
            </w:r>
          </w:p>
        </w:tc>
        <w:tc>
          <w:tcPr>
            <w:tcW w:type="dxa" w:w="2026"/>
            <w:shd w:fill="E8EC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2026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"X"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SAHRC acknowledgment and referrals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O — Regulatory Confirmation</w:t>
            </w:r>
          </w:p>
        </w:tc>
        <w:tc>
          <w:tcPr>
            <w:tcW w:type="dxa" w:w="20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2026</w:t>
            </w:r>
          </w:p>
        </w:tc>
      </w:tr>
      <w:tr>
        <w:tc>
          <w:tcPr>
            <w:tcW w:type="dxa" w:w="700"/>
            <w:shd w:fill="E8EC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"Y"</w:t>
            </w:r>
          </w:p>
        </w:tc>
        <w:tc>
          <w:tcPr>
            <w:tcW w:type="dxa" w:w="43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CCMA Certificates of Non-Resolution (WECT23564-25 and WECT24486-25)</w:t>
            </w:r>
          </w:p>
        </w:tc>
        <w:tc>
          <w:tcPr>
            <w:tcW w:type="dxa" w:w="20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A — Jurisdiction</w:t>
            </w:r>
          </w:p>
        </w:tc>
        <w:tc>
          <w:tcPr>
            <w:tcW w:type="dxa" w:w="2026"/>
            <w:shd w:fill="E8EC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9 January 2026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"Z"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EthicHawks Master Chronological Register (148 entries, 11 Jan 2024 – 2 Apr 2026)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O — Regulatory Confirmation</w:t>
            </w:r>
          </w:p>
        </w:tc>
        <w:tc>
          <w:tcPr>
            <w:tcW w:type="dxa" w:w="20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3 April 2026</w:t>
            </w:r>
          </w:p>
        </w:tc>
      </w:tr>
      <w:tr>
        <w:tc>
          <w:tcPr>
            <w:tcW w:type="dxa" w:w="700"/>
            <w:shd w:fill="E8EC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"P1 RISK"</w:t>
            </w:r>
          </w:p>
        </w:tc>
        <w:tc>
          <w:tcPr>
            <w:tcW w:type="dxa" w:w="43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NQF Mandate / SAQA Statutory Obligation to Report (ELO mapping; qualification transcript)</w:t>
            </w:r>
          </w:p>
        </w:tc>
        <w:tc>
          <w:tcPr>
            <w:tcW w:type="dxa" w:w="2000"/>
            <w:shd w:fill="E8EC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Part G — Protected Disclosures</w:t>
            </w:r>
          </w:p>
        </w:tc>
        <w:tc>
          <w:tcPr>
            <w:tcW w:type="dxa" w:w="2026"/>
            <w:shd w:fill="E8ECF0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8 April 2026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3557"/>
                <w:sz w:val="200"/>
                <w:szCs w:val="200"/>
              </w:rPr>
              <w:t xml:space="preserve">"PDA BILL"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Protected Disclosures Amendment Bill, 2026 (Government Gazette, 8 April 2026)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200"/>
                <w:szCs w:val="200"/>
              </w:rPr>
              <w:t xml:space="preserve">Preamble</w:t>
            </w:r>
          </w:p>
        </w:tc>
        <w:tc>
          <w:tcPr>
            <w:tcW w:type="dxa" w:w="2026"/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0"/>
                <w:szCs w:val="200"/>
              </w:rPr>
              <w:t xml:space="preserve">8 April 2026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"A"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Interview invitations for 'Specialist: Care Manager' role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January 2024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C — Employment Relationship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"B"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Assessment instructions — Specialist: Care Manager (29 January 2024)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29 January 2024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C — Employment Relationship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"C"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Fingerprint criminal check booking confirmation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21 February 2024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C — Employment Relationship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"D"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Employment contract — 'Care Coordinator' (Grade B4M1)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9 April 2024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C — Employment Relationship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"E"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First Aider roster and EHS directives drafted by Applicant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25 July 2025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C — Employment Relationship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"F"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Sick note — Dr Jacques Malan (Akeso Stepping Stones Clinic)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1 April 2025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D — Mental Health / Disability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"G"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Mental health disclosure to Mapule Mashele (formal written notice of disability)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16 May 2025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D — Mental Health / Disability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"H"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Jones: "we do not apply staggering of money owed"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16 April 2025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D — Mental Health / Disability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"I"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Payslip — July 2025 (R14,811.77 deduction; 40.47% of gross salary)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July 2025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E — Unlawful Salary Deduction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"J"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AOD Policy confirming 25% cap + "what is illegal?" exchange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24 July 2025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E — Unlawful Salary Deduction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"K"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"Wilma" Microsoft Teams message (screenshot, team-wide channel)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23 September 2025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F — Gender Identity Discrimination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"L"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Formal discrimination complaint lodged with HR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25 September 2025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F — Gender Identity Discrimination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"M"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Mashele investigation closure report ("typo" finding)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1 October 2025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F — Gender Identity Discrimination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"N"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Gexus/DMS root cause analysis and protected disclosure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23 October 2025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G — Protected Disclosures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"O"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Transcript — 31 October 2025 meeting (retaliatory admission by Jones)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31 October 2025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I — Retaliatory Intent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"P"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Formal grievance against Jones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2 November 2025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J — Institutional Silence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"Q"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Executive escalation bundle to leadership (32-page evidence bundle)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4 December 2025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J — Institutional Silence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"R"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Employer's opposing affidavit — CCMA (Xolile Vincent Manyathi)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10 December 2025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K — Bad-Faith Affidavit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"S"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Resignation letter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11 December 2025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L — Constructive Dismissal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"T"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CPUT Postgraduate Diploma in Occupational Health Nursing — acceptance letter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2026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M — Career Destruction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"U"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uFiling screenshot — 'No Information' for June 2025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2026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N — Post-Resignation Victimisation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"V"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Certificate of Service (disputed) + Naming Convention request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January 2026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N — Post-Resignation Victimisation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"W"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CMS referral — 'Administrative Misconduct and Ethical Failure'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2026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O — Regulatory Confirmation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"X"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SAHRC acknowledgment and referrals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2026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O — Regulatory Confirmation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"Y"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CCMA Certificates of Non-Resolution (WECT23564-25 and WECT24486-25)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9 January 2026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A — Jurisdiction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"Z"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EthicHawks Master Chronological Register (148 entries, 11 Jan 2024 – 2 Apr 2026)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3 April 2026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O — Regulatory Confirmation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"P1 RISK"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NQF Mandate / SAQA Statutory Obligation to Report (ELO mapping; qualification transcript)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8 April 2026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Part G — Protected Disclosures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p>
      <w:r>
        <w:br w:type="page"/>
      </w:r>
    </w:p>
    <w:p>
      <w:pPr>
        <w:pBdr>
          <w:top w:val="thick" w:color="1A3557" w:sz="32" w:space="0"/>
        </w:pBdr>
        <w:spacing w:after="0" w:before="0"/>
      </w:pPr>
    </w:p>
    <w:p>
      <w:pPr>
        <w:pBdr>
          <w:top w:val="thick" w:color="B8860B" w:sz="16" w:space="0"/>
        </w:pBdr>
        <w:spacing w:after="0" w:before="0"/>
      </w:pP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aps/>
          <w:color w:val="888888"/>
          <w:sz w:val="280"/>
          <w:szCs w:val="280"/>
        </w:rPr>
        <w:t xml:space="preserve">ANNEXURE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557"/>
          <w:sz w:val="960"/>
          <w:szCs w:val="960"/>
        </w:rPr>
        <w:t xml:space="preserve">"PDA BILL"</w:t>
      </w:r>
    </w:p>
    <w:p>
      <w:pPr>
        <w:pBdr>
          <w:bottom w:val="single" w:color="B8860B" w:sz="8" w:space="1"/>
        </w:pBdr>
        <w:spacing w:after="60" w:before="60"/>
      </w:pPr>
    </w:p>
    <w:p>
      <w:pPr>
        <w:spacing w:after="160" w:before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left w:val="thick" w:color="1A3557" w:sz="16"/>
            </w:tcBorders>
            <w:shd w:fill="E8EC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3F60"/>
                <w:sz w:val="280"/>
                <w:szCs w:val="280"/>
              </w:rPr>
              <w:t xml:space="preserve">Protected Disclosures Amendment Bill, 2026 (Government Gazette, 8 April 2026)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240"/>
                <w:szCs w:val="240"/>
              </w:rPr>
              <w:t xml:space="preserve">Date: 8 April 2026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20"/>
                <w:szCs w:val="220"/>
              </w:rPr>
              <w:t xml:space="preserve">Relevance: Preamble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0"/>
          <w:szCs w:val="200"/>
        </w:rPr>
        <w:t xml:space="preserve">Matthee v AfroCentric Health (RF) (Pty) Ltd &amp; Medscheme Holdings (Pty) Ltd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180"/>
          <w:szCs w:val="180"/>
        </w:rPr>
        <w:t xml:space="preserve">Statement of Claim — 9 April 2026  |  EthicHawks Forensic Governance Consultancy</w:t>
      </w:r>
    </w:p>
    <w:p>
      <w:pPr>
        <w:pBdr>
          <w:bottom w:val="single" w:color="1A3557" w:sz="4" w:space="1"/>
        </w:pBdr>
        <w:spacing w:after="60" w:before="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557" w:sz="4" w:space="4"/>
      </w:pBdr>
      <w:spacing w:after="0" w:before="60"/>
      <w:jc w:val="center"/>
    </w:pPr>
    <w:r>
      <w:rPr>
        <w:rFonts w:ascii="Times New Roman" w:cs="Times New Roman" w:eastAsia="Times New Roman" w:hAnsi="Times New Roman"/>
        <w:color w:val="555555"/>
        <w:sz w:val="180"/>
        <w:szCs w:val="180"/>
      </w:rPr>
      <w:t xml:space="preserve">EthicHawks Forensic Governance Consultancy  |  info@ethichawks.co.za  |  Page </w:t>
    </w:r>
    <w:r>
      <w:rPr>
        <w:rFonts w:ascii="Times New Roman" w:cs="Times New Roman" w:eastAsia="Times New Roman" w:hAnsi="Times New Roman"/>
        <w:color w:val="555555"/>
        <w:sz w:val="180"/>
        <w:szCs w:val="18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55555"/>
        <w:sz w:val="180"/>
        <w:szCs w:val="180"/>
      </w:rPr>
      <w:t xml:space="preserve"> of </w:t>
    </w:r>
    <w:r>
      <w:rPr>
        <w:rFonts w:ascii="Times New Roman" w:cs="Times New Roman" w:eastAsia="Times New Roman" w:hAnsi="Times New Roman"/>
        <w:color w:val="555555"/>
        <w:sz w:val="180"/>
        <w:szCs w:val="18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557" w:sz="4" w:space="4"/>
      </w:pBdr>
      <w:spacing w:after="80" w:before="0"/>
    </w:pPr>
    <w:r>
      <w:rPr>
        <w:rFonts w:ascii="Times New Roman" w:cs="Times New Roman" w:eastAsia="Times New Roman" w:hAnsi="Times New Roman"/>
        <w:color w:val="1A3557"/>
        <w:sz w:val="180"/>
        <w:szCs w:val="180"/>
      </w:rPr>
      <w:t xml:space="preserve">MATTHEE v AFROCENTRIC HEALTH (RF) (PTY) LTD &amp; ANOTHER  •  INDEX &amp; ANNEXURE BUNDLE  •  9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0"/>
        <w:szCs w:val="2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2026-04-09T00:15:16.283Z</dcterms:created>
  <dcterms:modified xsi:type="dcterms:W3CDTF">2026-04-09T00:15:16.284Z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