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17"/>
        <w:gridCol w:w="2729"/>
      </w:tblGrid>
      <w:tr>
        <w:tc>
          <w:tcPr>
            <w:tcW w:type="dxa" w:w="7017"/>
            <w:tcBorders>
              <w:top w:val="none" w:color="FFFFFF" w:sz="0"/>
              <w:left w:val="none" w:color="FFFFFF" w:sz="0"/>
              <w:bottom w:val="none" w:color="FFFFFF" w:sz="0"/>
              <w:right w:val="none" w:color="FFFFFF" w:sz="0"/>
            </w:tcBorders>
            <w:shd w:fill="1B7A78" w:val="clear"/>
            <w:tcMar>
              <w:top w:type="dxa" w:w="160"/>
              <w:left w:type="dxa" w:w="240"/>
              <w:bottom w:type="dxa" w:w="160"/>
              <w:right w:type="dxa" w:w="120"/>
            </w:tcMar>
          </w:tcPr>
          <w:p>
            <w:r>
              <w:rPr>
                <w:rFonts w:ascii="Arial" w:cs="Arial" w:eastAsia="Arial" w:hAnsi="Arial"/>
                <w:b/>
                <w:bCs/>
                <w:color w:val="FFFFFF"/>
                <w:sz w:val="52"/>
                <w:szCs w:val="52"/>
              </w:rPr>
              <w:t xml:space="preserve">ETHICHAWKS</w:t>
            </w:r>
          </w:p>
          <w:p>
            <w:r>
              <w:rPr>
                <w:rFonts w:ascii="Arial" w:cs="Arial" w:eastAsia="Arial" w:hAnsi="Arial"/>
                <w:color w:val="C8E6E6"/>
                <w:sz w:val="18"/>
                <w:szCs w:val="18"/>
              </w:rPr>
              <w:t xml:space="preserve">FORENSIC GOVERNANCE &amp; COMPLIANCE</w:t>
            </w:r>
          </w:p>
        </w:tc>
        <w:tc>
          <w:tcPr>
            <w:tcW w:type="dxa" w:w="2729"/>
            <w:tcBorders>
              <w:top w:val="none" w:color="FFFFFF" w:sz="0"/>
              <w:left w:val="none" w:color="FFFFFF" w:sz="0"/>
              <w:bottom w:val="none" w:color="FFFFFF" w:sz="0"/>
              <w:right w:val="none" w:color="FFFFFF" w:sz="0"/>
            </w:tcBorders>
            <w:shd w:fill="1A2E35" w:val="clear"/>
            <w:tcMar>
              <w:top w:type="dxa" w:w="120"/>
              <w:left w:type="dxa" w:w="160"/>
              <w:bottom w:type="dxa" w:w="120"/>
              <w:right w:type="dxa" w:w="160"/>
            </w:tcMar>
          </w:tcPr>
          <w:p>
            <w:pPr>
              <w:jc w:val="right"/>
            </w:pPr>
            <w:r>
              <w:rPr>
                <w:rFonts w:ascii="Arial" w:cs="Arial" w:eastAsia="Arial" w:hAnsi="Arial"/>
                <w:color w:val="C8E6E6"/>
                <w:sz w:val="15"/>
                <w:szCs w:val="15"/>
              </w:rPr>
              <w:t xml:space="preserve">info@ethichawks.co.za</w:t>
            </w:r>
          </w:p>
          <w:p>
            <w:pPr>
              <w:jc w:val="right"/>
            </w:pPr>
            <w:r>
              <w:rPr>
                <w:rFonts w:ascii="Arial" w:cs="Arial" w:eastAsia="Arial" w:hAnsi="Arial"/>
                <w:color w:val="C8E6E6"/>
                <w:sz w:val="15"/>
                <w:szCs w:val="15"/>
              </w:rPr>
              <w:t xml:space="preserve">wilburmat@gmail.com</w:t>
            </w:r>
          </w:p>
          <w:p>
            <w:pPr>
              <w:jc w:val="right"/>
            </w:pPr>
            <w:r>
              <w:rPr>
                <w:rFonts w:ascii="Arial" w:cs="Arial" w:eastAsia="Arial" w:hAnsi="Arial"/>
                <w:color w:val="C8E6E6"/>
                <w:sz w:val="15"/>
                <w:szCs w:val="15"/>
              </w:rPr>
              <w:t xml:space="preserve">069 635 1435 / 063 378 8782</w:t>
            </w:r>
          </w:p>
          <w:p>
            <w:pPr>
              <w:jc w:val="right"/>
            </w:pPr>
            <w:r>
              <w:rPr>
                <w:rFonts w:ascii="Arial" w:cs="Arial" w:eastAsia="Arial" w:hAnsi="Arial"/>
                <w:color w:val="C8E6E6"/>
                <w:sz w:val="15"/>
                <w:szCs w:val="15"/>
              </w:rPr>
              <w:t xml:space="preserve">15 Bellevue Street, Voorbrug</w:t>
            </w:r>
          </w:p>
          <w:p>
            <w:pPr>
              <w:jc w:val="right"/>
            </w:pPr>
            <w:r>
              <w:rPr>
                <w:rFonts w:ascii="Arial" w:cs="Arial" w:eastAsia="Arial" w:hAnsi="Arial"/>
                <w:color w:val="C8E6E6"/>
                <w:sz w:val="15"/>
                <w:szCs w:val="15"/>
              </w:rPr>
              <w:t xml:space="preserve">Cape Town, 7100</w:t>
            </w:r>
          </w:p>
        </w:tc>
      </w:tr>
    </w:tbl>
    <w:p>
      <w:pPr>
        <w:pBdr>
          <w:bottom w:val="single" w:color="C8942A" w:sz="6"/>
        </w:pBdr>
        <w:spacing w:before="0" w:after="0"/>
      </w:pPr>
    </w:p>
    <w:p>
      <w:pPr>
        <w:spacing w:before="0" w:after="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54"/>
        <w:gridCol w:w="7992"/>
      </w:tblGrid>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TO:</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The South African Human Rights Commission — Western Cape Provincial Office</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REF:</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Further to SAHRC correspondence and Applicant updates of 10 February 2026, 5 March 2026, and 13 March 2026</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DATE:</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19 March 2026</w:t>
            </w:r>
          </w:p>
        </w:tc>
      </w:tr>
      <w:tr>
        <w:tc>
          <w:tcPr>
            <w:tcW w:type="dxa" w:w="1754"/>
            <w:tcBorders>
              <w:top w:val="none" w:color="FFFFFF" w:sz="0"/>
              <w:left w:val="none" w:color="FFFFFF" w:sz="0"/>
              <w:bottom w:val="none" w:color="FFFFFF" w:sz="0"/>
              <w:right w:val="none" w:color="FFFFFF" w:sz="0"/>
            </w:tcBorders>
            <w:tcMar>
              <w:top w:type="dxa" w:w="50"/>
              <w:left w:type="dxa" w:w="0"/>
              <w:bottom w:type="dxa" w:w="50"/>
              <w:right w:type="dxa" w:w="100"/>
            </w:tcMar>
          </w:tcPr>
          <w:p>
            <w:r>
              <w:rPr>
                <w:rFonts w:ascii="Arial" w:cs="Arial" w:eastAsia="Arial" w:hAnsi="Arial"/>
                <w:b/>
                <w:bCs/>
                <w:color w:val="1B7A78"/>
                <w:sz w:val="20"/>
                <w:szCs w:val="20"/>
              </w:rPr>
              <w:t xml:space="preserve">RE:</w:t>
            </w:r>
          </w:p>
        </w:tc>
        <w:tc>
          <w:tcPr>
            <w:tcW w:type="dxa" w:w="7992"/>
            <w:tcBorders>
              <w:top w:val="none" w:color="FFFFFF" w:sz="0"/>
              <w:left w:val="none" w:color="FFFFFF" w:sz="0"/>
              <w:bottom w:val="none" w:color="FFFFFF" w:sz="0"/>
              <w:right w:val="none" w:color="FFFFFF" w:sz="0"/>
            </w:tcBorders>
            <w:tcMar>
              <w:top w:type="dxa" w:w="50"/>
              <w:left w:type="dxa" w:w="100"/>
              <w:bottom w:type="dxa" w:w="50"/>
              <w:right w:type="dxa" w:w="0"/>
            </w:tcMar>
          </w:tcPr>
          <w:p>
            <w:pPr>
              <w:jc w:val="both"/>
            </w:pPr>
            <w:r>
              <w:rPr>
                <w:rFonts w:ascii="Arial" w:cs="Arial" w:eastAsia="Arial" w:hAnsi="Arial"/>
                <w:color w:val="1A2E35"/>
                <w:sz w:val="20"/>
                <w:szCs w:val="20"/>
              </w:rPr>
              <w:t xml:space="preserve">FACTUAL UPDATE — HIGH COURT APPLICATION FILED 19 MARCH 2026 | FILING REFERENCE HCGS951842 | RESOLUTION OF DOCUMENTED PORTAL OBSTRUCTION</w:t>
            </w:r>
          </w:p>
        </w:tc>
      </w:tr>
    </w:tbl>
    <w:p>
      <w:pPr>
        <w:spacing w:before="0" w:after="160"/>
      </w:pPr>
    </w:p>
    <w:p>
      <w:pPr>
        <w:pBdr>
          <w:bottom w:val="single" w:color="1B7A78" w:sz="8"/>
        </w:pBdr>
        <w:spacing w:before="0" w:after="0"/>
      </w:pPr>
    </w:p>
    <w:p>
      <w:pPr>
        <w:spacing w:before="0" w:after="120"/>
      </w:pPr>
    </w:p>
    <w:p>
      <w:pPr>
        <w:spacing w:before="120" w:after="120"/>
      </w:pPr>
      <w:r>
        <w:rPr>
          <w:rFonts w:ascii="Arial" w:cs="Arial" w:eastAsia="Arial" w:hAnsi="Arial"/>
          <w:color w:val="1A2E35"/>
          <w:sz w:val="22"/>
          <w:szCs w:val="22"/>
        </w:rPr>
        <w:t xml:space="preserve">Dear Commissioner / Legal Officer,</w:t>
      </w:r>
    </w:p>
    <w:p>
      <w:pPr>
        <w:spacing w:before="80" w:after="80"/>
        <w:ind/>
        <w:jc w:val="both"/>
      </w:pPr>
      <w:r>
        <w:rPr>
          <w:rFonts w:ascii="Arial" w:cs="Arial" w:eastAsia="Arial" w:hAnsi="Arial"/>
          <w:b w:val="false"/>
          <w:bCs w:val="false"/>
          <w:color w:val="1A2E35"/>
          <w:sz w:val="22"/>
          <w:szCs w:val="22"/>
        </w:rPr>
        <w:t xml:space="preserve">I write to provide a formal factual update to this SAHRC file, which has documented the complete sequence of institutional failures I have experienced across eleven bodies since July 2025.</w:t>
      </w:r>
    </w:p>
    <w:p>
      <w:pPr>
        <w:spacing w:before="200" w:after="80"/>
      </w:pPr>
      <w:r>
        <w:rPr>
          <w:rFonts w:ascii="Arial" w:cs="Arial" w:eastAsia="Arial" w:hAnsi="Arial"/>
          <w:b/>
          <w:bCs/>
          <w:color w:val="1B7A78"/>
          <w:sz w:val="24"/>
          <w:szCs w:val="24"/>
        </w:rPr>
        <w:t xml:space="preserve">1.  HIGH COURT APPLICATION — SUCCESSFULLY FILED 19 MARCH 2026</w:t>
      </w:r>
    </w:p>
    <w:p>
      <w:pPr>
        <w:spacing w:before="80" w:after="80"/>
        <w:ind/>
        <w:jc w:val="both"/>
      </w:pPr>
      <w:r>
        <w:rPr>
          <w:rFonts w:ascii="Arial" w:cs="Arial" w:eastAsia="Arial" w:hAnsi="Arial"/>
          <w:b w:val="false"/>
          <w:bCs w:val="false"/>
          <w:color w:val="1A2E35"/>
          <w:sz w:val="22"/>
          <w:szCs w:val="22"/>
        </w:rPr>
        <w:t xml:space="preserve">My comprehensive update of 13 March 2026 documented eight days of Labour Court portal obstruction spanning 5 to 13 March 2026, which I formally placed on record with this Commission as a potential violation of the Section 34 constitutional right of access to court.</w:t>
      </w:r>
    </w:p>
    <w:p>
      <w:pPr>
        <w:spacing w:before="80" w:after="80"/>
        <w:ind/>
        <w:jc w:val="both"/>
      </w:pPr>
      <w:r>
        <w:rPr>
          <w:rFonts w:ascii="Arial" w:cs="Arial" w:eastAsia="Arial" w:hAnsi="Arial"/>
          <w:b w:val="false"/>
          <w:bCs w:val="false"/>
          <w:color w:val="1A2E35"/>
          <w:sz w:val="22"/>
          <w:szCs w:val="22"/>
        </w:rPr>
        <w:t xml:space="preserve">I am now able to confirm that the urgent Section 162 Director Delinquency Application was successfully filed with the High Court of South Africa (Western Cape Division) on 19 March 2026 under Filing Reference HCGS951842. The matter is currently pending case number allocation by the Registrar.</w:t>
      </w:r>
    </w:p>
    <w:p>
      <w:pPr>
        <w:spacing w:before="0"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B7A78" w:sz="4"/>
              <w:left w:val="single" w:color="1B7A78" w:sz="4"/>
              <w:bottom w:val="single" w:color="1B7A78" w:sz="4"/>
              <w:right w:val="single" w:color="1B7A78" w:sz="4"/>
            </w:tcBorders>
            <w:shd w:fill="EAF4F4" w:val="clear"/>
            <w:tcMar>
              <w:top w:type="dxa" w:w="120"/>
              <w:left w:type="dxa" w:w="200"/>
              <w:bottom w:type="dxa" w:w="120"/>
              <w:right w:type="dxa" w:w="200"/>
            </w:tcMar>
          </w:tcPr>
          <w:p>
            <w:pPr>
              <w:spacing w:before="50" w:after="50"/>
              <w:jc w:val="both"/>
            </w:pPr>
            <w:r>
              <w:rPr>
                <w:rFonts w:ascii="Arial" w:cs="Arial" w:eastAsia="Arial" w:hAnsi="Arial"/>
                <w:b/>
                <w:bCs/>
                <w:color w:val="1A2E35"/>
                <w:sz w:val="21"/>
                <w:szCs w:val="21"/>
              </w:rPr>
              <w:t xml:space="preserve">What This Means For The SAHRC File:</w:t>
            </w:r>
          </w:p>
          <w:p>
            <w:pPr>
              <w:spacing w:before="50" w:after="50"/>
              <w:jc w:val="both"/>
            </w:pPr>
            <w:r>
              <w:rPr>
                <w:rFonts w:ascii="Arial" w:cs="Arial" w:eastAsia="Arial" w:hAnsi="Arial"/>
                <w:b w:val="false"/>
                <w:bCs w:val="false"/>
                <w:color w:val="1A2E35"/>
                <w:sz w:val="21"/>
                <w:szCs w:val="21"/>
              </w:rPr>
              <w:t xml:space="preserve"/>
            </w:r>
          </w:p>
          <w:p>
            <w:pPr>
              <w:spacing w:before="50" w:after="50"/>
              <w:jc w:val="both"/>
            </w:pPr>
            <w:r>
              <w:rPr>
                <w:rFonts w:ascii="Arial" w:cs="Arial" w:eastAsia="Arial" w:hAnsi="Arial"/>
                <w:b w:val="false"/>
                <w:bCs w:val="false"/>
                <w:color w:val="1A2E35"/>
                <w:sz w:val="21"/>
                <w:szCs w:val="21"/>
              </w:rPr>
              <w:t xml:space="preserve">The eight days of portal obstruction documented in the 13 March 2026 update did not ultimately prevent access to court — but it delayed it by eight days in circumstances where a self-represented, formally disabled, destitute applicant was facing a confirmed end-of-March 2026 eviction deadline. The obstruction is therefore not moot. It is a documented constitutional access-to-justice failure that caused quantifiable delay and harm in a humanitarian emergency.</w:t>
            </w:r>
          </w:p>
        </w:tc>
      </w:tr>
    </w:tbl>
    <w:p>
      <w:pPr>
        <w:spacing w:before="0" w:after="80"/>
      </w:pPr>
    </w:p>
    <w:p>
      <w:pPr>
        <w:spacing w:before="200" w:after="80"/>
      </w:pPr>
      <w:r>
        <w:rPr>
          <w:rFonts w:ascii="Arial" w:cs="Arial" w:eastAsia="Arial" w:hAnsi="Arial"/>
          <w:b/>
          <w:bCs/>
          <w:color w:val="1B7A78"/>
          <w:sz w:val="24"/>
          <w:szCs w:val="24"/>
        </w:rPr>
        <w:t xml:space="preserve">2.  THE SAHRC CALLBACK — FORMAL RECORD</w:t>
      </w:r>
    </w:p>
    <w:p>
      <w:pPr>
        <w:spacing w:before="80" w:after="80"/>
        <w:ind/>
        <w:jc w:val="both"/>
      </w:pPr>
      <w:r>
        <w:rPr>
          <w:rFonts w:ascii="Arial" w:cs="Arial" w:eastAsia="Arial" w:hAnsi="Arial"/>
          <w:b w:val="false"/>
          <w:bCs w:val="false"/>
          <w:color w:val="1A2E35"/>
          <w:sz w:val="22"/>
          <w:szCs w:val="22"/>
        </w:rPr>
        <w:t xml:space="preserve">I place on formal record that following my comprehensive update of 13 March 2026, I was referred between departments within the SAHRC and was advised that a callback would be made. As of 19 March 2026 that callback has not been received.</w:t>
      </w:r>
    </w:p>
    <w:p>
      <w:pPr>
        <w:spacing w:before="80" w:after="80"/>
        <w:ind/>
        <w:jc w:val="both"/>
      </w:pPr>
      <w:r>
        <w:rPr>
          <w:rFonts w:ascii="Arial" w:cs="Arial" w:eastAsia="Arial" w:hAnsi="Arial"/>
          <w:b w:val="false"/>
          <w:bCs w:val="false"/>
          <w:color w:val="1A2E35"/>
          <w:sz w:val="22"/>
          <w:szCs w:val="22"/>
        </w:rPr>
        <w:t xml:space="preserve">I do not raise this as a complaint against the SAHRC. I raise it as a factual record — because the complete documented picture of what a self-represented whistleblower experienced across eleven institutions, including the delay in SAHRC follow-up, is the context in which the High Court will assess the urgency and humanitarian necessity of the relief sought.</w:t>
      </w:r>
    </w:p>
    <w:p>
      <w:pPr>
        <w:spacing w:before="200" w:after="80"/>
      </w:pPr>
      <w:r>
        <w:rPr>
          <w:rFonts w:ascii="Arial" w:cs="Arial" w:eastAsia="Arial" w:hAnsi="Arial"/>
          <w:b/>
          <w:bCs/>
          <w:color w:val="1B7A78"/>
          <w:sz w:val="24"/>
          <w:szCs w:val="24"/>
        </w:rPr>
        <w:t xml:space="preserve">3.  FORMAL REQUESTS TO THE SAHRC</w:t>
      </w:r>
    </w:p>
    <w:p>
      <w:pPr>
        <w:spacing w:before="100" w:after="40"/>
        <w:ind w:left="360"/>
      </w:pPr>
      <w:r>
        <w:rPr>
          <w:rFonts w:ascii="Arial" w:cs="Arial" w:eastAsia="Arial" w:hAnsi="Arial"/>
          <w:b/>
          <w:bCs/>
          <w:color w:val="1A2E35"/>
          <w:sz w:val="22"/>
          <w:szCs w:val="22"/>
        </w:rPr>
        <w:t xml:space="preserve">3.1  </w:t>
      </w:r>
    </w:p>
    <w:p>
      <w:pPr>
        <w:spacing w:before="80" w:after="80"/>
        <w:ind w:left="720"/>
        <w:jc w:val="both"/>
      </w:pPr>
      <w:r>
        <w:rPr>
          <w:rFonts w:ascii="Arial" w:cs="Arial" w:eastAsia="Arial" w:hAnsi="Arial"/>
          <w:b w:val="false"/>
          <w:bCs w:val="false"/>
          <w:color w:val="1A2E35"/>
          <w:sz w:val="22"/>
          <w:szCs w:val="22"/>
        </w:rPr>
        <w:t xml:space="preserve">That this update be formally appended to the SAHRC file as a continuation of the comprehensive update of 13 March 2026;</w:t>
      </w:r>
    </w:p>
    <w:p>
      <w:pPr>
        <w:spacing w:before="100" w:after="40"/>
        <w:ind w:left="360"/>
      </w:pPr>
      <w:r>
        <w:rPr>
          <w:rFonts w:ascii="Arial" w:cs="Arial" w:eastAsia="Arial" w:hAnsi="Arial"/>
          <w:b/>
          <w:bCs/>
          <w:color w:val="1A2E35"/>
          <w:sz w:val="22"/>
          <w:szCs w:val="22"/>
        </w:rPr>
        <w:t xml:space="preserve">3.2  </w:t>
      </w:r>
    </w:p>
    <w:p>
      <w:pPr>
        <w:spacing w:before="80" w:after="80"/>
        <w:ind w:left="720"/>
        <w:jc w:val="both"/>
      </w:pPr>
      <w:r>
        <w:rPr>
          <w:rFonts w:ascii="Arial" w:cs="Arial" w:eastAsia="Arial" w:hAnsi="Arial"/>
          <w:b w:val="false"/>
          <w:bCs w:val="false"/>
          <w:color w:val="1A2E35"/>
          <w:sz w:val="22"/>
          <w:szCs w:val="22"/>
        </w:rPr>
        <w:t xml:space="preserve">That the Commission note that the High Court application has now been successfully filed under Filing Reference HCGS951842 and is before the Registrar for case number allocation; and</w:t>
      </w:r>
    </w:p>
    <w:p>
      <w:pPr>
        <w:spacing w:before="100" w:after="40"/>
        <w:ind w:left="360"/>
      </w:pPr>
      <w:r>
        <w:rPr>
          <w:rFonts w:ascii="Arial" w:cs="Arial" w:eastAsia="Arial" w:hAnsi="Arial"/>
          <w:b/>
          <w:bCs/>
          <w:color w:val="1A2E35"/>
          <w:sz w:val="22"/>
          <w:szCs w:val="22"/>
        </w:rPr>
        <w:t xml:space="preserve">3.3  </w:t>
      </w:r>
    </w:p>
    <w:p>
      <w:pPr>
        <w:spacing w:before="80" w:after="80"/>
        <w:ind w:left="720"/>
        <w:jc w:val="both"/>
      </w:pPr>
      <w:r>
        <w:rPr>
          <w:rFonts w:ascii="Arial" w:cs="Arial" w:eastAsia="Arial" w:hAnsi="Arial"/>
          <w:b w:val="false"/>
          <w:bCs w:val="false"/>
          <w:color w:val="1A2E35"/>
          <w:sz w:val="22"/>
          <w:szCs w:val="22"/>
        </w:rPr>
        <w:t xml:space="preserve">That the Commission note that the portal obstruction documented in the 13 March 2026 update — while it did not ultimately prevent filing — caused an eight-day delay with quantifiable humanitarian consequences for a self-represented disabled applicant facing imminent eviction, and that this delay warrants the Commission's continued attention under its access-to-justice mandate.</w:t>
      </w:r>
    </w:p>
    <w:p>
      <w:pPr>
        <w:spacing w:before="0" w:after="80"/>
      </w:pPr>
    </w:p>
    <w:p>
      <w:pPr>
        <w:spacing w:before="80" w:after="80"/>
        <w:ind/>
        <w:jc w:val="both"/>
      </w:pPr>
      <w:r>
        <w:rPr>
          <w:rFonts w:ascii="Arial" w:cs="Arial" w:eastAsia="Arial" w:hAnsi="Arial"/>
          <w:b w:val="false"/>
          <w:bCs w:val="false"/>
          <w:color w:val="1A2E35"/>
          <w:sz w:val="22"/>
          <w:szCs w:val="22"/>
        </w:rPr>
        <w:t xml:space="preserve">I will continue to update this file as the High Court proceedings develop.</w:t>
      </w:r>
    </w:p>
    <w:p>
      <w:pPr>
        <w:spacing w:before="0" w:after="120"/>
      </w:pPr>
    </w:p>
    <w:p>
      <w:r>
        <w:rPr>
          <w:rFonts w:ascii="Arial" w:cs="Arial" w:eastAsia="Arial" w:hAnsi="Arial"/>
          <w:color w:val="1A2E35"/>
          <w:sz w:val="22"/>
          <w:szCs w:val="22"/>
        </w:rPr>
        <w:t xml:space="preserve">Yours faithfully,</w:t>
      </w:r>
    </w:p>
    <w:p>
      <w:pPr>
        <w:spacing w:before="0" w:after="340"/>
      </w:pPr>
    </w:p>
    <w:p>
      <w:r>
        <w:rPr>
          <w:rFonts w:ascii="Arial" w:cs="Arial" w:eastAsia="Arial" w:hAnsi="Arial"/>
          <w:b/>
          <w:bCs/>
          <w:color w:val="1A2E35"/>
          <w:sz w:val="22"/>
          <w:szCs w:val="22"/>
        </w:rPr>
        <w:t xml:space="preserve">WILBUR WILLIAM MATTHEE</w:t>
      </w:r>
    </w:p>
    <w:p>
      <w:r>
        <w:rPr>
          <w:rFonts w:ascii="Arial" w:cs="Arial" w:eastAsia="Arial" w:hAnsi="Arial"/>
          <w:color w:val="1B7A78"/>
          <w:sz w:val="21"/>
          <w:szCs w:val="21"/>
        </w:rPr>
        <w:t xml:space="preserve">Founder — EthicHawks  |  Forensic Governance Architect</w:t>
      </w:r>
    </w:p>
    <w:p>
      <w:r>
        <w:rPr>
          <w:rFonts w:ascii="Arial" w:cs="Arial" w:eastAsia="Arial" w:hAnsi="Arial"/>
          <w:color w:val="1A2E35"/>
          <w:sz w:val="19"/>
          <w:szCs w:val="19"/>
        </w:rPr>
        <w:t xml:space="preserve">RN  |  BCur HMN  |  BTech General Nursing  |  PGDip Health Services Management (NQF 8)</w:t>
      </w:r>
    </w:p>
    <w:p>
      <w:pPr>
        <w:spacing w:before="0" w:after="60"/>
      </w:pPr>
    </w:p>
    <w:p>
      <w:pPr>
        <w:pBdr>
          <w:bottom w:val="single" w:color="C8942A" w:sz="6"/>
        </w:pBdr>
        <w:spacing w:before="0" w:after="0"/>
      </w:pPr>
    </w:p>
    <w:p>
      <w:pPr>
        <w:spacing w:before="0" w:after="40"/>
      </w:pPr>
    </w:p>
    <w:p>
      <w:r>
        <w:rPr>
          <w:rFonts w:ascii="Arial" w:cs="Arial" w:eastAsia="Arial" w:hAnsi="Arial"/>
          <w:color w:val="1B7A78"/>
          <w:sz w:val="18"/>
          <w:szCs w:val="18"/>
        </w:rPr>
        <w:t xml:space="preserve">info@ethichawks.co.za  |  wilburmat@gmail.com  |  Tel: 069 635 1435  |  www.ethichawks.co.za</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2026-03-19T12:17:05.739Z</dcterms:created>
  <dcterms:modified xsi:type="dcterms:W3CDTF">2026-03-19T12:17:05.739Z</dcterms:modified>
</cp:coreProperties>
</file>

<file path=docProps/custom.xml><?xml version="1.0" encoding="utf-8"?>
<Properties xmlns="http://schemas.openxmlformats.org/officeDocument/2006/custom-properties" xmlns:vt="http://schemas.openxmlformats.org/officeDocument/2006/docPropsVTypes"/>
</file>