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7"/>
        <w:gridCol w:w="2729"/>
      </w:tblGrid>
      <w:tr w:rsidR="00FD7C13" w14:paraId="3AEF014D" w14:textId="77777777">
        <w:tblPrEx>
          <w:tblCellMar>
            <w:top w:w="0" w:type="dxa"/>
            <w:bottom w:w="0" w:type="dxa"/>
          </w:tblCellMar>
        </w:tblPrEx>
        <w:tc>
          <w:tcPr>
            <w:tcW w:w="7017" w:type="dxa"/>
            <w:tcBorders>
              <w:top w:val="none" w:sz="0" w:space="0" w:color="FFFFFF"/>
              <w:left w:val="none" w:sz="0" w:space="0" w:color="FFFFFF"/>
              <w:bottom w:val="none" w:sz="0" w:space="0" w:color="FFFFFF"/>
              <w:right w:val="none" w:sz="0" w:space="0" w:color="FFFFFF"/>
            </w:tcBorders>
            <w:shd w:val="clear" w:color="auto" w:fill="1B7A78"/>
            <w:tcMar>
              <w:top w:w="160" w:type="dxa"/>
              <w:left w:w="240" w:type="dxa"/>
              <w:bottom w:w="160" w:type="dxa"/>
              <w:right w:w="120" w:type="dxa"/>
            </w:tcMar>
          </w:tcPr>
          <w:p w14:paraId="54E8E179" w14:textId="77777777" w:rsidR="00FD7C13" w:rsidRDefault="00000000">
            <w:r>
              <w:rPr>
                <w:b/>
                <w:bCs/>
                <w:color w:val="FFFFFF"/>
                <w:sz w:val="52"/>
                <w:szCs w:val="52"/>
              </w:rPr>
              <w:t>ETHICHAWKS</w:t>
            </w:r>
          </w:p>
          <w:p w14:paraId="051EBA60" w14:textId="77777777" w:rsidR="00FD7C13" w:rsidRDefault="00000000">
            <w:r>
              <w:rPr>
                <w:color w:val="C8E6E6"/>
                <w:sz w:val="18"/>
                <w:szCs w:val="18"/>
              </w:rPr>
              <w:t>FORENSIC GOVERNANCE &amp; COMPLIANCE</w:t>
            </w:r>
          </w:p>
        </w:tc>
        <w:tc>
          <w:tcPr>
            <w:tcW w:w="2729" w:type="dxa"/>
            <w:tcBorders>
              <w:top w:val="none" w:sz="0" w:space="0" w:color="FFFFFF"/>
              <w:left w:val="none" w:sz="0" w:space="0" w:color="FFFFFF"/>
              <w:bottom w:val="none" w:sz="0" w:space="0" w:color="FFFFFF"/>
              <w:right w:val="none" w:sz="0" w:space="0" w:color="FFFFFF"/>
            </w:tcBorders>
            <w:shd w:val="clear" w:color="auto" w:fill="1A2E35"/>
            <w:tcMar>
              <w:top w:w="120" w:type="dxa"/>
              <w:left w:w="160" w:type="dxa"/>
              <w:bottom w:w="120" w:type="dxa"/>
              <w:right w:w="160" w:type="dxa"/>
            </w:tcMar>
          </w:tcPr>
          <w:p w14:paraId="06E09912" w14:textId="77777777" w:rsidR="00FD7C13" w:rsidRDefault="00000000">
            <w:pPr>
              <w:jc w:val="right"/>
            </w:pPr>
            <w:r>
              <w:rPr>
                <w:color w:val="C8E6E6"/>
                <w:sz w:val="15"/>
                <w:szCs w:val="15"/>
              </w:rPr>
              <w:t>info@ethichawks.co.za</w:t>
            </w:r>
          </w:p>
          <w:p w14:paraId="715CF0BF" w14:textId="77777777" w:rsidR="00FD7C13" w:rsidRDefault="00000000">
            <w:pPr>
              <w:jc w:val="right"/>
            </w:pPr>
            <w:r>
              <w:rPr>
                <w:color w:val="C8E6E6"/>
                <w:sz w:val="15"/>
                <w:szCs w:val="15"/>
              </w:rPr>
              <w:t>wilburmat@gmail.com</w:t>
            </w:r>
          </w:p>
          <w:p w14:paraId="158CCBD8" w14:textId="77777777" w:rsidR="00FD7C13" w:rsidRDefault="00000000">
            <w:pPr>
              <w:jc w:val="right"/>
            </w:pPr>
            <w:r>
              <w:rPr>
                <w:color w:val="C8E6E6"/>
                <w:sz w:val="15"/>
                <w:szCs w:val="15"/>
              </w:rPr>
              <w:t>069 635 1435 / 063 378 8782</w:t>
            </w:r>
          </w:p>
          <w:p w14:paraId="5574EC11" w14:textId="77777777" w:rsidR="00FD7C13" w:rsidRDefault="00000000">
            <w:pPr>
              <w:jc w:val="right"/>
            </w:pPr>
            <w:r>
              <w:rPr>
                <w:color w:val="C8E6E6"/>
                <w:sz w:val="15"/>
                <w:szCs w:val="15"/>
              </w:rPr>
              <w:t xml:space="preserve">15 Bellevue Street, </w:t>
            </w:r>
            <w:proofErr w:type="spellStart"/>
            <w:r>
              <w:rPr>
                <w:color w:val="C8E6E6"/>
                <w:sz w:val="15"/>
                <w:szCs w:val="15"/>
              </w:rPr>
              <w:t>Voorbrug</w:t>
            </w:r>
            <w:proofErr w:type="spellEnd"/>
          </w:p>
          <w:p w14:paraId="019136C6" w14:textId="77777777" w:rsidR="00FD7C13" w:rsidRDefault="00000000">
            <w:pPr>
              <w:jc w:val="right"/>
            </w:pPr>
            <w:r>
              <w:rPr>
                <w:color w:val="C8E6E6"/>
                <w:sz w:val="15"/>
                <w:szCs w:val="15"/>
              </w:rPr>
              <w:t>Cape Town, 7100</w:t>
            </w:r>
          </w:p>
        </w:tc>
      </w:tr>
    </w:tbl>
    <w:p w14:paraId="7E11C9BA" w14:textId="77777777" w:rsidR="00FD7C13" w:rsidRDefault="00FD7C13">
      <w:pPr>
        <w:pBdr>
          <w:bottom w:val="single" w:sz="6" w:space="0" w:color="C8942A"/>
        </w:pBdr>
      </w:pPr>
    </w:p>
    <w:p w14:paraId="0B74D950" w14:textId="77777777" w:rsidR="00FD7C13" w:rsidRDefault="00FD7C13">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FD7C13" w14:paraId="40C67472"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CC18564" w14:textId="77777777" w:rsidR="00FD7C13" w:rsidRDefault="00000000">
            <w:r>
              <w:rPr>
                <w:b/>
                <w:bCs/>
                <w:color w:val="1B7A78"/>
                <w:sz w:val="20"/>
                <w:szCs w:val="20"/>
              </w:rPr>
              <w:t>TO:</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47271110" w14:textId="77777777" w:rsidR="00FD7C13" w:rsidRDefault="00000000">
            <w:pPr>
              <w:jc w:val="both"/>
            </w:pPr>
            <w:r>
              <w:rPr>
                <w:color w:val="1A2E35"/>
                <w:sz w:val="20"/>
                <w:szCs w:val="20"/>
              </w:rPr>
              <w:t>JSE Issuer Regulation — Attention: Nadia Jada</w:t>
            </w:r>
          </w:p>
        </w:tc>
      </w:tr>
      <w:tr w:rsidR="00FD7C13" w14:paraId="579567F3"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86E06E5" w14:textId="77777777" w:rsidR="00FD7C13" w:rsidRDefault="00000000">
            <w:r>
              <w:rPr>
                <w:b/>
                <w:bCs/>
                <w:color w:val="1B7A78"/>
                <w:sz w:val="20"/>
                <w:szCs w:val="20"/>
              </w:rPr>
              <w:t>REF:</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500B2BA0" w14:textId="77777777" w:rsidR="00FD7C13" w:rsidRDefault="00000000">
            <w:pPr>
              <w:jc w:val="both"/>
            </w:pPr>
            <w:r>
              <w:rPr>
                <w:color w:val="1A2E35"/>
                <w:sz w:val="20"/>
                <w:szCs w:val="20"/>
              </w:rPr>
              <w:t xml:space="preserve">Ref: </w:t>
            </w:r>
            <w:proofErr w:type="spellStart"/>
            <w:r>
              <w:rPr>
                <w:color w:val="1A2E35"/>
                <w:sz w:val="20"/>
                <w:szCs w:val="20"/>
              </w:rPr>
              <w:t>JvS</w:t>
            </w:r>
            <w:proofErr w:type="spellEnd"/>
            <w:r>
              <w:rPr>
                <w:color w:val="1A2E35"/>
                <w:sz w:val="20"/>
                <w:szCs w:val="20"/>
              </w:rPr>
              <w:t>/166792</w:t>
            </w:r>
          </w:p>
        </w:tc>
      </w:tr>
      <w:tr w:rsidR="00FD7C13" w14:paraId="3EAC649E"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19C1B26A" w14:textId="77777777" w:rsidR="00FD7C13" w:rsidRDefault="00000000">
            <w:r>
              <w:rPr>
                <w:b/>
                <w:bCs/>
                <w:color w:val="1B7A78"/>
                <w:sz w:val="20"/>
                <w:szCs w:val="20"/>
              </w:rPr>
              <w:t>DATE: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36E65DE1" w14:textId="0FC761B0" w:rsidR="00FD7C13" w:rsidRDefault="00EA371C">
            <w:pPr>
              <w:jc w:val="both"/>
            </w:pPr>
            <w:r>
              <w:rPr>
                <w:color w:val="1A2E35"/>
                <w:sz w:val="20"/>
                <w:szCs w:val="20"/>
              </w:rPr>
              <w:t xml:space="preserve">20 </w:t>
            </w:r>
            <w:r w:rsidR="00000000">
              <w:rPr>
                <w:color w:val="1A2E35"/>
                <w:sz w:val="20"/>
                <w:szCs w:val="20"/>
              </w:rPr>
              <w:t>March 2026</w:t>
            </w:r>
          </w:p>
        </w:tc>
      </w:tr>
      <w:tr w:rsidR="00FD7C13" w14:paraId="083C9BBD" w14:textId="77777777">
        <w:tblPrEx>
          <w:tblCellMar>
            <w:top w:w="0" w:type="dxa"/>
            <w:bottom w:w="0" w:type="dxa"/>
          </w:tblCellMar>
        </w:tblPrEx>
        <w:tc>
          <w:tcPr>
            <w:tcW w:w="1754" w:type="dxa"/>
            <w:tcBorders>
              <w:top w:val="none" w:sz="0" w:space="0" w:color="FFFFFF"/>
              <w:left w:val="none" w:sz="0" w:space="0" w:color="FFFFFF"/>
              <w:bottom w:val="none" w:sz="0" w:space="0" w:color="FFFFFF"/>
              <w:right w:val="none" w:sz="0" w:space="0" w:color="FFFFFF"/>
            </w:tcBorders>
            <w:tcMar>
              <w:top w:w="50" w:type="dxa"/>
              <w:left w:w="0" w:type="dxa"/>
              <w:bottom w:w="50" w:type="dxa"/>
              <w:right w:w="100" w:type="dxa"/>
            </w:tcMar>
          </w:tcPr>
          <w:p w14:paraId="769CE01B" w14:textId="77777777" w:rsidR="00FD7C13" w:rsidRDefault="00000000">
            <w:r>
              <w:rPr>
                <w:b/>
                <w:bCs/>
                <w:color w:val="1B7A78"/>
                <w:sz w:val="20"/>
                <w:szCs w:val="20"/>
              </w:rPr>
              <w:t>RE:</w:t>
            </w:r>
          </w:p>
        </w:tc>
        <w:tc>
          <w:tcPr>
            <w:tcW w:w="7992" w:type="dxa"/>
            <w:tcBorders>
              <w:top w:val="none" w:sz="0" w:space="0" w:color="FFFFFF"/>
              <w:left w:val="none" w:sz="0" w:space="0" w:color="FFFFFF"/>
              <w:bottom w:val="none" w:sz="0" w:space="0" w:color="FFFFFF"/>
              <w:right w:val="none" w:sz="0" w:space="0" w:color="FFFFFF"/>
            </w:tcBorders>
            <w:tcMar>
              <w:top w:w="50" w:type="dxa"/>
              <w:left w:w="100" w:type="dxa"/>
              <w:bottom w:w="50" w:type="dxa"/>
              <w:right w:w="0" w:type="dxa"/>
            </w:tcMar>
          </w:tcPr>
          <w:p w14:paraId="7B4E5C6C" w14:textId="77777777" w:rsidR="00FD7C13" w:rsidRDefault="00000000">
            <w:pPr>
              <w:jc w:val="both"/>
            </w:pPr>
            <w:r>
              <w:rPr>
                <w:color w:val="1A2E35"/>
                <w:sz w:val="20"/>
                <w:szCs w:val="20"/>
              </w:rPr>
              <w:t>FACTUAL UPDATE — HIGH COURT SECTION 162 APPLICATION FILED 19 MARCH 2026 | FILING REFERENCE HCGS951842 | SENS ANNOUNCEMENT 18 MARCH 2026 | MATERIAL LITIGATION DISCLOSURE QUESTION</w:t>
            </w:r>
          </w:p>
        </w:tc>
      </w:tr>
    </w:tbl>
    <w:p w14:paraId="182F68EB" w14:textId="77777777" w:rsidR="00FD7C13" w:rsidRDefault="00FD7C13">
      <w:pPr>
        <w:spacing w:after="160"/>
      </w:pPr>
    </w:p>
    <w:p w14:paraId="6DD8CF3E" w14:textId="77777777" w:rsidR="00FD7C13" w:rsidRDefault="00FD7C13">
      <w:pPr>
        <w:pBdr>
          <w:bottom w:val="single" w:sz="8" w:space="0" w:color="1B7A78"/>
        </w:pBdr>
      </w:pPr>
    </w:p>
    <w:p w14:paraId="31936F7E" w14:textId="77777777" w:rsidR="00FD7C13" w:rsidRDefault="00FD7C13">
      <w:pPr>
        <w:spacing w:after="120"/>
      </w:pPr>
    </w:p>
    <w:p w14:paraId="0028F2E5" w14:textId="77777777" w:rsidR="00FD7C13" w:rsidRDefault="00000000">
      <w:pPr>
        <w:spacing w:before="120" w:after="120"/>
      </w:pPr>
      <w:r>
        <w:rPr>
          <w:color w:val="1A2E35"/>
        </w:rPr>
        <w:t>Dear Ms Jada,</w:t>
      </w:r>
    </w:p>
    <w:p w14:paraId="3DFADE8F" w14:textId="77777777" w:rsidR="00FD7C13" w:rsidRDefault="00000000">
      <w:pPr>
        <w:spacing w:before="80" w:after="80"/>
        <w:jc w:val="both"/>
      </w:pPr>
      <w:r>
        <w:rPr>
          <w:color w:val="1A2E35"/>
        </w:rPr>
        <w:t xml:space="preserve">I write to provide a factual update following the JSE's jurisdictional declination of 6 March 2026 (Ref </w:t>
      </w:r>
      <w:proofErr w:type="spellStart"/>
      <w:r>
        <w:rPr>
          <w:color w:val="1A2E35"/>
        </w:rPr>
        <w:t>JvS</w:t>
      </w:r>
      <w:proofErr w:type="spellEnd"/>
      <w:r>
        <w:rPr>
          <w:color w:val="1A2E35"/>
        </w:rPr>
        <w:t>/166792) and to place a factual disclosure question on the formal record of this file.</w:t>
      </w:r>
    </w:p>
    <w:p w14:paraId="5C38E399" w14:textId="77777777" w:rsidR="00FD7C13" w:rsidRDefault="00000000">
      <w:pPr>
        <w:spacing w:before="200" w:after="80"/>
      </w:pPr>
      <w:r>
        <w:rPr>
          <w:b/>
          <w:bCs/>
          <w:color w:val="1B7A78"/>
          <w:sz w:val="24"/>
          <w:szCs w:val="24"/>
        </w:rPr>
        <w:t>1.  HIGH COURT APPLICATION — FILED 19 MARCH 2026</w:t>
      </w:r>
    </w:p>
    <w:p w14:paraId="0D805008" w14:textId="77777777" w:rsidR="00FD7C13" w:rsidRDefault="00000000">
      <w:pPr>
        <w:spacing w:before="80" w:after="80"/>
        <w:jc w:val="both"/>
      </w:pPr>
      <w:r>
        <w:rPr>
          <w:color w:val="1A2E35"/>
        </w:rPr>
        <w:t xml:space="preserve">On 19 March 2026, I filed an urgent Section 162 Director Delinquency Application with the High Court of South Africa (Western Cape Division) under Filing Reference HCGS951842. The Respondents are the Lead Independent Director, Chairperson of the Social and Ethics Committee, Chairperson of the Audit and Risk Committee, CEO, Group Company Secretary, and </w:t>
      </w:r>
      <w:proofErr w:type="spellStart"/>
      <w:r>
        <w:rPr>
          <w:color w:val="1A2E35"/>
        </w:rPr>
        <w:t>AfroCentric</w:t>
      </w:r>
      <w:proofErr w:type="spellEnd"/>
      <w:r>
        <w:rPr>
          <w:color w:val="1A2E35"/>
        </w:rPr>
        <w:t xml:space="preserve"> Investment Corporation Limited (JSE: ACT) itself as Sixth Respondent.</w:t>
      </w:r>
    </w:p>
    <w:p w14:paraId="0E8B0885" w14:textId="77777777" w:rsidR="00FD7C13" w:rsidRDefault="00000000">
      <w:pPr>
        <w:spacing w:before="80" w:after="80"/>
        <w:jc w:val="both"/>
      </w:pPr>
      <w:r>
        <w:rPr>
          <w:color w:val="1A2E35"/>
        </w:rPr>
        <w:t>The matter is currently pending case number allocation. Formal physical service on the Respondents will follow upon allocation.</w:t>
      </w:r>
    </w:p>
    <w:p w14:paraId="06D27FFB" w14:textId="77777777" w:rsidR="00FD7C13" w:rsidRDefault="00000000">
      <w:pPr>
        <w:spacing w:before="200" w:after="80"/>
      </w:pPr>
      <w:r>
        <w:rPr>
          <w:b/>
          <w:bCs/>
          <w:color w:val="1B7A78"/>
          <w:sz w:val="24"/>
          <w:szCs w:val="24"/>
        </w:rPr>
        <w:t>2.  SENS ANNOUNCEMENT — 18 MARCH 2026 — FACTUAL DISCLOSURE QUESTION</w:t>
      </w:r>
    </w:p>
    <w:p w14:paraId="5484735C" w14:textId="77777777" w:rsidR="00FD7C13" w:rsidRDefault="00000000">
      <w:pPr>
        <w:spacing w:before="80" w:after="80"/>
        <w:jc w:val="both"/>
      </w:pPr>
      <w:r>
        <w:rPr>
          <w:color w:val="1A2E35"/>
        </w:rPr>
        <w:t>I draw JSE Issuer Regulation's attention to the following factual sequence as a matter potentially relevant to the JSE's continuous disclosure obligations under Listings Requirements Rules 3.4 and 3.8.</w:t>
      </w:r>
    </w:p>
    <w:p w14:paraId="784A6C95" w14:textId="77777777" w:rsidR="00FD7C13" w:rsidRDefault="00000000">
      <w:pPr>
        <w:spacing w:before="100" w:after="40"/>
        <w:ind w:left="360"/>
      </w:pPr>
      <w:r>
        <w:rPr>
          <w:b/>
          <w:bCs/>
          <w:color w:val="1A2E35"/>
        </w:rPr>
        <w:t xml:space="preserve">2.1  </w:t>
      </w:r>
    </w:p>
    <w:p w14:paraId="5A347A00" w14:textId="77777777" w:rsidR="00FD7C13" w:rsidRDefault="00000000">
      <w:pPr>
        <w:spacing w:before="80" w:after="80"/>
        <w:ind w:left="720"/>
        <w:jc w:val="both"/>
      </w:pPr>
      <w:r>
        <w:rPr>
          <w:color w:val="1A2E35"/>
        </w:rPr>
        <w:t xml:space="preserve">On 18 March 2026 — the day preceding the High Court application filing — </w:t>
      </w:r>
      <w:proofErr w:type="spellStart"/>
      <w:r>
        <w:rPr>
          <w:color w:val="1A2E35"/>
        </w:rPr>
        <w:t>AfroCentric</w:t>
      </w:r>
      <w:proofErr w:type="spellEnd"/>
      <w:r>
        <w:rPr>
          <w:color w:val="1A2E35"/>
        </w:rPr>
        <w:t xml:space="preserve"> Investment Corporation Limited released a SENS announcement regarding a Sanlam transaction;</w:t>
      </w:r>
    </w:p>
    <w:p w14:paraId="2A39452B" w14:textId="77777777" w:rsidR="00FD7C13" w:rsidRDefault="00000000">
      <w:pPr>
        <w:spacing w:before="100" w:after="40"/>
        <w:ind w:left="360"/>
      </w:pPr>
      <w:r>
        <w:rPr>
          <w:b/>
          <w:bCs/>
          <w:color w:val="1A2E35"/>
        </w:rPr>
        <w:t xml:space="preserve">2.2  </w:t>
      </w:r>
    </w:p>
    <w:p w14:paraId="721F3D10" w14:textId="77777777" w:rsidR="00FD7C13" w:rsidRDefault="00000000">
      <w:pPr>
        <w:spacing w:before="80" w:after="80"/>
        <w:ind w:left="720"/>
        <w:jc w:val="both"/>
      </w:pPr>
      <w:r>
        <w:rPr>
          <w:color w:val="1A2E35"/>
        </w:rPr>
        <w:t>The Company's share price reached a 52-week low of R0.71 on that date, representing a significant market movement; and</w:t>
      </w:r>
    </w:p>
    <w:p w14:paraId="337682BA" w14:textId="77777777" w:rsidR="00FD7C13" w:rsidRDefault="00000000">
      <w:pPr>
        <w:spacing w:before="100" w:after="40"/>
        <w:ind w:left="360"/>
      </w:pPr>
      <w:r>
        <w:rPr>
          <w:b/>
          <w:bCs/>
          <w:color w:val="1A2E35"/>
        </w:rPr>
        <w:t xml:space="preserve">2.3  </w:t>
      </w:r>
    </w:p>
    <w:p w14:paraId="6481F368" w14:textId="77777777" w:rsidR="00FD7C13" w:rsidRDefault="00000000">
      <w:pPr>
        <w:spacing w:before="80" w:after="80"/>
        <w:ind w:left="720"/>
        <w:jc w:val="both"/>
      </w:pPr>
      <w:r>
        <w:rPr>
          <w:color w:val="1A2E35"/>
        </w:rPr>
        <w:t>The following material matters were, to my knowledge, not disclosed in that announcement: the active High Court Section 162 Director Delinquency Application (Filing Reference HCGS951842); and the active B-BBEE Commission investigation (Case No. 5/02/2026) which carries a potential maximum fine of approximately R580,000,000 (10% of annual group turnover) under the B-BBEE Act.</w:t>
      </w:r>
    </w:p>
    <w:p w14:paraId="6863D4D0" w14:textId="77777777" w:rsidR="00FD7C13" w:rsidRDefault="00FD7C13">
      <w:pPr>
        <w:spacing w:after="80"/>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D7C13" w14:paraId="38368C18" w14:textId="77777777">
        <w:tblPrEx>
          <w:tblCellMar>
            <w:top w:w="0" w:type="dxa"/>
            <w:bottom w:w="0" w:type="dxa"/>
          </w:tblCellMar>
        </w:tblPrEx>
        <w:tc>
          <w:tcPr>
            <w:tcW w:w="0" w:type="auto"/>
            <w:tcBorders>
              <w:top w:val="single" w:sz="4" w:space="0" w:color="1B7A78"/>
              <w:left w:val="single" w:sz="4" w:space="0" w:color="1B7A78"/>
              <w:bottom w:val="single" w:sz="4" w:space="0" w:color="1B7A78"/>
              <w:right w:val="single" w:sz="4" w:space="0" w:color="1B7A78"/>
            </w:tcBorders>
            <w:shd w:val="clear" w:color="auto" w:fill="EAF4F4"/>
            <w:tcMar>
              <w:top w:w="120" w:type="dxa"/>
              <w:left w:w="200" w:type="dxa"/>
              <w:bottom w:w="120" w:type="dxa"/>
              <w:right w:w="200" w:type="dxa"/>
            </w:tcMar>
          </w:tcPr>
          <w:p w14:paraId="58E82F50" w14:textId="77777777" w:rsidR="00FD7C13" w:rsidRDefault="00000000">
            <w:pPr>
              <w:spacing w:before="50" w:after="50"/>
              <w:jc w:val="both"/>
            </w:pPr>
            <w:r>
              <w:rPr>
                <w:b/>
                <w:bCs/>
                <w:color w:val="1A2E35"/>
                <w:sz w:val="21"/>
                <w:szCs w:val="21"/>
              </w:rPr>
              <w:t>The Factual Question For JSE Issuer Regulation:</w:t>
            </w:r>
          </w:p>
          <w:p w14:paraId="5E6C04A6" w14:textId="77777777" w:rsidR="00FD7C13" w:rsidRDefault="00FD7C13">
            <w:pPr>
              <w:spacing w:before="50" w:after="50"/>
              <w:jc w:val="both"/>
            </w:pPr>
          </w:p>
          <w:p w14:paraId="70FB466B" w14:textId="77777777" w:rsidR="00FD7C13" w:rsidRDefault="00000000">
            <w:pPr>
              <w:spacing w:before="50" w:after="50"/>
              <w:jc w:val="both"/>
            </w:pPr>
            <w:r>
              <w:rPr>
                <w:color w:val="1A2E35"/>
                <w:sz w:val="21"/>
                <w:szCs w:val="21"/>
              </w:rPr>
              <w:t>Whether the omission of active material litigation — specifically a Section 162 Director Delinquency Application and an active B-BBEE Commission fronting investigation — from a SENS announcement releasing information about a major corporate transaction is consistent with the Company's continuous disclosure obligations under the JSE Listings Requirements.</w:t>
            </w:r>
          </w:p>
          <w:p w14:paraId="72C96935" w14:textId="77777777" w:rsidR="00FD7C13" w:rsidRDefault="00FD7C13">
            <w:pPr>
              <w:spacing w:before="50" w:after="50"/>
              <w:jc w:val="both"/>
            </w:pPr>
          </w:p>
          <w:p w14:paraId="33D61D80" w14:textId="77777777" w:rsidR="00FD7C13" w:rsidRDefault="00000000">
            <w:pPr>
              <w:spacing w:before="50" w:after="50"/>
              <w:jc w:val="both"/>
            </w:pPr>
            <w:r>
              <w:rPr>
                <w:color w:val="1A2E35"/>
                <w:sz w:val="21"/>
                <w:szCs w:val="21"/>
              </w:rPr>
              <w:t>I make no allegation of deliberate non-disclosure. I place this factual question on the regulatory record for JSE Issuer Regulation's assessment.</w:t>
            </w:r>
          </w:p>
        </w:tc>
      </w:tr>
    </w:tbl>
    <w:p w14:paraId="1FA95155" w14:textId="77777777" w:rsidR="00FD7C13" w:rsidRDefault="00FD7C13">
      <w:pPr>
        <w:spacing w:after="80"/>
      </w:pPr>
    </w:p>
    <w:p w14:paraId="3DA1F0D6" w14:textId="77777777" w:rsidR="00FD7C13" w:rsidRDefault="00000000">
      <w:pPr>
        <w:spacing w:before="200" w:after="80"/>
      </w:pPr>
      <w:r>
        <w:rPr>
          <w:b/>
          <w:bCs/>
          <w:color w:val="1B7A78"/>
          <w:sz w:val="24"/>
          <w:szCs w:val="24"/>
        </w:rPr>
        <w:t>3.  NOTING THE JSE JURISDICTIONAL DECLINATION</w:t>
      </w:r>
    </w:p>
    <w:p w14:paraId="08A11C1C" w14:textId="77777777" w:rsidR="00FD7C13" w:rsidRDefault="00000000">
      <w:pPr>
        <w:spacing w:before="80" w:after="80"/>
        <w:jc w:val="both"/>
      </w:pPr>
      <w:r>
        <w:rPr>
          <w:color w:val="1A2E35"/>
        </w:rPr>
        <w:t>I note and respect the JSE's jurisdictional declination of 6 March 2026. The matters raised in this update are placed on record for whatever regulatory purpose the JSE considers appropriate within its mandate. I am not requesting the JSE to re-open the declined matter but to note the factual developments of 19 March 2026 in the context of the existing file.</w:t>
      </w:r>
    </w:p>
    <w:p w14:paraId="27C013E6" w14:textId="77777777" w:rsidR="00FD7C13" w:rsidRDefault="00000000">
      <w:pPr>
        <w:spacing w:before="80" w:after="80"/>
        <w:jc w:val="both"/>
      </w:pPr>
      <w:r>
        <w:rPr>
          <w:color w:val="1A2E35"/>
        </w:rPr>
        <w:t>I remain available to provide further documentation upon request.</w:t>
      </w:r>
    </w:p>
    <w:p w14:paraId="0EC81B1A" w14:textId="77777777" w:rsidR="00FD7C13" w:rsidRDefault="00FD7C13">
      <w:pPr>
        <w:spacing w:after="120"/>
      </w:pPr>
    </w:p>
    <w:p w14:paraId="2DC45EEE" w14:textId="77777777" w:rsidR="00FD7C13" w:rsidRDefault="00000000">
      <w:r>
        <w:rPr>
          <w:color w:val="1A2E35"/>
        </w:rPr>
        <w:t>Yours faithfully,</w:t>
      </w:r>
    </w:p>
    <w:p w14:paraId="617AA9EC" w14:textId="77777777" w:rsidR="00FD7C13" w:rsidRDefault="00FD7C13">
      <w:pPr>
        <w:spacing w:after="340"/>
      </w:pPr>
    </w:p>
    <w:p w14:paraId="39D5BE4B" w14:textId="77777777" w:rsidR="00FD7C13" w:rsidRDefault="00000000">
      <w:r>
        <w:rPr>
          <w:b/>
          <w:bCs/>
          <w:color w:val="1A2E35"/>
        </w:rPr>
        <w:t>WILBUR WILLIAM MATTHEE</w:t>
      </w:r>
    </w:p>
    <w:p w14:paraId="57F20AE0" w14:textId="77777777" w:rsidR="00FD7C13" w:rsidRDefault="00000000">
      <w:r>
        <w:rPr>
          <w:color w:val="1B7A78"/>
          <w:sz w:val="21"/>
          <w:szCs w:val="21"/>
        </w:rPr>
        <w:t xml:space="preserve">Founder — </w:t>
      </w:r>
      <w:proofErr w:type="spellStart"/>
      <w:r>
        <w:rPr>
          <w:color w:val="1B7A78"/>
          <w:sz w:val="21"/>
          <w:szCs w:val="21"/>
        </w:rPr>
        <w:t>EthicHawks</w:t>
      </w:r>
      <w:proofErr w:type="spellEnd"/>
      <w:r>
        <w:rPr>
          <w:color w:val="1B7A78"/>
          <w:sz w:val="21"/>
          <w:szCs w:val="21"/>
        </w:rPr>
        <w:t xml:space="preserve">  |  Forensic Governance Architect</w:t>
      </w:r>
    </w:p>
    <w:p w14:paraId="7B982616" w14:textId="41939BD4" w:rsidR="00FD7C13" w:rsidRDefault="007C06F4">
      <w:r>
        <w:rPr>
          <w:color w:val="1A2E35"/>
          <w:sz w:val="19"/>
          <w:szCs w:val="19"/>
        </w:rPr>
        <w:t xml:space="preserve">Specialist </w:t>
      </w:r>
      <w:r w:rsidR="00000000">
        <w:rPr>
          <w:color w:val="1A2E35"/>
          <w:sz w:val="19"/>
          <w:szCs w:val="19"/>
        </w:rPr>
        <w:t xml:space="preserve">RN   |  </w:t>
      </w:r>
      <w:proofErr w:type="spellStart"/>
      <w:r w:rsidR="00000000">
        <w:rPr>
          <w:color w:val="1A2E35"/>
          <w:sz w:val="19"/>
          <w:szCs w:val="19"/>
        </w:rPr>
        <w:t>BTech</w:t>
      </w:r>
      <w:proofErr w:type="spellEnd"/>
      <w:r w:rsidR="00000000">
        <w:rPr>
          <w:color w:val="1A2E35"/>
          <w:sz w:val="19"/>
          <w:szCs w:val="19"/>
        </w:rPr>
        <w:t xml:space="preserve"> General Nursing  |  PGDip Health Services Management (NQF 8)</w:t>
      </w:r>
    </w:p>
    <w:p w14:paraId="16FA1DB8" w14:textId="77777777" w:rsidR="00FD7C13" w:rsidRDefault="00FD7C13">
      <w:pPr>
        <w:spacing w:after="60"/>
      </w:pPr>
    </w:p>
    <w:p w14:paraId="1452DBC3" w14:textId="77777777" w:rsidR="00FD7C13" w:rsidRDefault="00FD7C13">
      <w:pPr>
        <w:pBdr>
          <w:bottom w:val="single" w:sz="6" w:space="0" w:color="C8942A"/>
        </w:pBdr>
      </w:pPr>
    </w:p>
    <w:p w14:paraId="49C578FE" w14:textId="77777777" w:rsidR="00FD7C13" w:rsidRDefault="00FD7C13">
      <w:pPr>
        <w:spacing w:after="40"/>
      </w:pPr>
    </w:p>
    <w:p w14:paraId="37BF881C" w14:textId="77777777" w:rsidR="00FD7C13" w:rsidRDefault="00000000">
      <w:r>
        <w:rPr>
          <w:color w:val="1B7A78"/>
          <w:sz w:val="18"/>
          <w:szCs w:val="18"/>
        </w:rPr>
        <w:t>info@ethichawks.co.za  |  wilburmat@gmail.com  |  Tel: 069 635 1435  |  www.ethichawks.co.za</w:t>
      </w:r>
    </w:p>
    <w:sectPr w:rsidR="00FD7C1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97D84"/>
    <w:multiLevelType w:val="hybridMultilevel"/>
    <w:tmpl w:val="FFFFFFFF"/>
    <w:lvl w:ilvl="0" w:tplc="F4BC8DD0">
      <w:start w:val="1"/>
      <w:numFmt w:val="bullet"/>
      <w:lvlText w:val="●"/>
      <w:lvlJc w:val="left"/>
      <w:pPr>
        <w:ind w:left="720" w:hanging="360"/>
      </w:pPr>
    </w:lvl>
    <w:lvl w:ilvl="1" w:tplc="C8F019FA">
      <w:start w:val="1"/>
      <w:numFmt w:val="bullet"/>
      <w:lvlText w:val="○"/>
      <w:lvlJc w:val="left"/>
      <w:pPr>
        <w:ind w:left="1440" w:hanging="360"/>
      </w:pPr>
    </w:lvl>
    <w:lvl w:ilvl="2" w:tplc="E814C49A">
      <w:start w:val="1"/>
      <w:numFmt w:val="bullet"/>
      <w:lvlText w:val="■"/>
      <w:lvlJc w:val="left"/>
      <w:pPr>
        <w:ind w:left="2160" w:hanging="360"/>
      </w:pPr>
    </w:lvl>
    <w:lvl w:ilvl="3" w:tplc="F10E3E06">
      <w:start w:val="1"/>
      <w:numFmt w:val="bullet"/>
      <w:lvlText w:val="●"/>
      <w:lvlJc w:val="left"/>
      <w:pPr>
        <w:ind w:left="2880" w:hanging="360"/>
      </w:pPr>
    </w:lvl>
    <w:lvl w:ilvl="4" w:tplc="F1AAC7EA">
      <w:start w:val="1"/>
      <w:numFmt w:val="bullet"/>
      <w:lvlText w:val="○"/>
      <w:lvlJc w:val="left"/>
      <w:pPr>
        <w:ind w:left="3600" w:hanging="360"/>
      </w:pPr>
    </w:lvl>
    <w:lvl w:ilvl="5" w:tplc="FD38FD3C">
      <w:start w:val="1"/>
      <w:numFmt w:val="bullet"/>
      <w:lvlText w:val="■"/>
      <w:lvlJc w:val="left"/>
      <w:pPr>
        <w:ind w:left="4320" w:hanging="360"/>
      </w:pPr>
    </w:lvl>
    <w:lvl w:ilvl="6" w:tplc="B49650C8">
      <w:start w:val="1"/>
      <w:numFmt w:val="bullet"/>
      <w:lvlText w:val="●"/>
      <w:lvlJc w:val="left"/>
      <w:pPr>
        <w:ind w:left="5040" w:hanging="360"/>
      </w:pPr>
    </w:lvl>
    <w:lvl w:ilvl="7" w:tplc="6B900C26">
      <w:start w:val="1"/>
      <w:numFmt w:val="bullet"/>
      <w:lvlText w:val="●"/>
      <w:lvlJc w:val="left"/>
      <w:pPr>
        <w:ind w:left="5760" w:hanging="360"/>
      </w:pPr>
    </w:lvl>
    <w:lvl w:ilvl="8" w:tplc="51FEE68C">
      <w:start w:val="1"/>
      <w:numFmt w:val="bullet"/>
      <w:lvlText w:val="●"/>
      <w:lvlJc w:val="left"/>
      <w:pPr>
        <w:ind w:left="6480" w:hanging="360"/>
      </w:pPr>
    </w:lvl>
  </w:abstractNum>
  <w:num w:numId="1" w16cid:durableId="2060518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C13"/>
    <w:rsid w:val="007C06F4"/>
    <w:rsid w:val="00B64F2F"/>
    <w:rsid w:val="00EA371C"/>
    <w:rsid w:val="00FD7C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D6A80E5"/>
  <w15:docId w15:val="{C9B76B07-6A1D-364F-9F25-61E3C151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3</cp:revision>
  <dcterms:created xsi:type="dcterms:W3CDTF">2026-03-19T12:17:00Z</dcterms:created>
  <dcterms:modified xsi:type="dcterms:W3CDTF">2026-03-20T09:38:00Z</dcterms:modified>
</cp:coreProperties>
</file>