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IN THE LABOUR COURT OF SOUTH AFRICA</w:t>
      </w:r>
    </w:p>
    <w:p>
      <w:pPr>
        <w:spacing w:after="80" w:before="80"/>
        <w:jc w:val="center"/>
      </w:pPr>
      <w:r>
        <w:rPr>
          <w:rFonts w:ascii="Times New Roman" w:cs="Times New Roman" w:eastAsia="Times New Roman" w:hAnsi="Times New Roman"/>
          <w:b/>
          <w:bCs/>
          <w:sz w:val="24"/>
          <w:szCs w:val="24"/>
        </w:rPr>
        <w:t xml:space="preserve">(HELD AT CAPE TOWN)</w:t>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b/>
          <w:bCs/>
          <w:sz w:val="22"/>
          <w:szCs w:val="22"/>
        </w:rPr>
        <w:t xml:space="preserve">CASE NO: 2026-083299          CONCURRENT CASE NO: 2026-077546</w:t>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sz w:val="22"/>
          <w:szCs w:val="22"/>
        </w:rPr>
        <w:t xml:space="preserve">In the matter between:</w:t>
      </w:r>
    </w:p>
    <w:p>
      <w:pPr>
        <w:spacing w:after="0" w:before="0"/>
      </w:pPr>
      <w:r>
        <w:rPr>
          <w:rFonts w:ascii="Times New Roman" w:cs="Times New Roman" w:eastAsia="Times New Roman" w:hAnsi="Times New Roman"/>
          <w:sz w:val="22"/>
          <w:szCs w:val="22"/>
        </w:rPr>
        <w:t xml:space="preserve"/>
      </w:r>
    </w:p>
    <w:p>
      <w:pPr>
        <w:spacing w:after="0" w:before="60"/>
        <w:jc w:val="center"/>
      </w:pPr>
      <w:r>
        <w:rPr>
          <w:rFonts w:ascii="Times New Roman" w:cs="Times New Roman" w:eastAsia="Times New Roman" w:hAnsi="Times New Roman"/>
          <w:b/>
          <w:bCs/>
          <w:sz w:val="22"/>
          <w:szCs w:val="22"/>
        </w:rPr>
        <w:t xml:space="preserve">WILBUR WILLIAM MATTHEE</w:t>
      </w:r>
    </w:p>
    <w:p>
      <w:pPr>
        <w:spacing w:after="60" w:before="60"/>
        <w:jc w:val="center"/>
      </w:pPr>
      <w:r>
        <w:rPr>
          <w:rFonts w:ascii="Times New Roman" w:cs="Times New Roman" w:eastAsia="Times New Roman" w:hAnsi="Times New Roman"/>
          <w:i/>
          <w:iCs/>
          <w:sz w:val="22"/>
          <w:szCs w:val="22"/>
        </w:rPr>
        <w:t xml:space="preserve">(Plaintiff / Applicant)</w:t>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sz w:val="22"/>
          <w:szCs w:val="22"/>
        </w:rPr>
        <w:t xml:space="preserve">and</w:t>
      </w:r>
    </w:p>
    <w:p>
      <w:pPr>
        <w:spacing w:after="0" w:before="0"/>
      </w:pPr>
      <w:r>
        <w:rPr>
          <w:rFonts w:ascii="Times New Roman" w:cs="Times New Roman" w:eastAsia="Times New Roman" w:hAnsi="Times New Roman"/>
          <w:sz w:val="22"/>
          <w:szCs w:val="22"/>
        </w:rPr>
        <w:t xml:space="preserve"/>
      </w:r>
    </w:p>
    <w:p>
      <w:pPr>
        <w:spacing w:after="0" w:before="60"/>
        <w:jc w:val="center"/>
      </w:pPr>
      <w:r>
        <w:rPr>
          <w:rFonts w:ascii="Times New Roman" w:cs="Times New Roman" w:eastAsia="Times New Roman" w:hAnsi="Times New Roman"/>
          <w:b/>
          <w:bCs/>
          <w:sz w:val="22"/>
          <w:szCs w:val="22"/>
        </w:rPr>
        <w:t xml:space="preserve">AFROCENTRIC HEALTH (PTY) LTD</w:t>
      </w:r>
    </w:p>
    <w:p>
      <w:pPr>
        <w:spacing w:after="0" w:before="0"/>
        <w:jc w:val="center"/>
      </w:pPr>
      <w:r>
        <w:rPr>
          <w:rFonts w:ascii="Times New Roman" w:cs="Times New Roman" w:eastAsia="Times New Roman" w:hAnsi="Times New Roman"/>
          <w:sz w:val="22"/>
          <w:szCs w:val="22"/>
        </w:rPr>
        <w:t xml:space="preserve">(Registration Number: 1996/009540/07)</w:t>
      </w:r>
    </w:p>
    <w:p>
      <w:pPr>
        <w:spacing w:after="60" w:before="60"/>
        <w:jc w:val="center"/>
      </w:pPr>
      <w:r>
        <w:rPr>
          <w:rFonts w:ascii="Times New Roman" w:cs="Times New Roman" w:eastAsia="Times New Roman" w:hAnsi="Times New Roman"/>
          <w:i/>
          <w:iCs/>
          <w:sz w:val="22"/>
          <w:szCs w:val="22"/>
        </w:rPr>
        <w:t xml:space="preserve">(First Defendant / Respondent)</w:t>
      </w:r>
    </w:p>
    <w:p>
      <w:pPr>
        <w:spacing w:after="0" w:before="0"/>
      </w:pPr>
      <w:r>
        <w:rPr>
          <w:rFonts w:ascii="Times New Roman" w:cs="Times New Roman" w:eastAsia="Times New Roman" w:hAnsi="Times New Roman"/>
          <w:sz w:val="22"/>
          <w:szCs w:val="22"/>
        </w:rPr>
        <w:t xml:space="preserve"/>
      </w:r>
    </w:p>
    <w:p>
      <w:pPr>
        <w:spacing w:after="0" w:before="60"/>
        <w:jc w:val="center"/>
      </w:pPr>
      <w:r>
        <w:rPr>
          <w:rFonts w:ascii="Times New Roman" w:cs="Times New Roman" w:eastAsia="Times New Roman" w:hAnsi="Times New Roman"/>
          <w:b/>
          <w:bCs/>
          <w:sz w:val="22"/>
          <w:szCs w:val="22"/>
        </w:rPr>
        <w:t xml:space="preserve">MEDSCHEME HOLDINGS (PTY) LTD</w:t>
      </w:r>
    </w:p>
    <w:p>
      <w:pPr>
        <w:spacing w:after="60" w:before="60"/>
        <w:jc w:val="center"/>
      </w:pPr>
      <w:r>
        <w:rPr>
          <w:rFonts w:ascii="Times New Roman" w:cs="Times New Roman" w:eastAsia="Times New Roman" w:hAnsi="Times New Roman"/>
          <w:i/>
          <w:iCs/>
          <w:sz w:val="22"/>
          <w:szCs w:val="22"/>
        </w:rPr>
        <w:t xml:space="preserve">(Second Defendant / Respondent)</w:t>
      </w:r>
    </w:p>
    <w:p>
      <w:pPr>
        <w:spacing w:after="0" w:before="0"/>
      </w:pPr>
      <w:r>
        <w:rPr>
          <w:rFonts w:ascii="Times New Roman" w:cs="Times New Roman" w:eastAsia="Times New Roman" w:hAnsi="Times New Roman"/>
          <w:sz w:val="22"/>
          <w:szCs w:val="22"/>
        </w:rPr>
        <w:t xml:space="preserve"/>
      </w:r>
    </w:p>
    <w:p>
      <w:pPr>
        <w:pBdr>
          <w:bottom w:val="single" w:color="000000" w:sz="6" w:space="1"/>
        </w:pBdr>
        <w:spacing w:after="140" w:before="14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80" w:before="80"/>
        <w:jc w:val="center"/>
      </w:pPr>
      <w:r>
        <w:rPr>
          <w:rFonts w:ascii="Times New Roman" w:cs="Times New Roman" w:eastAsia="Times New Roman" w:hAnsi="Times New Roman"/>
          <w:b/>
          <w:bCs/>
          <w:sz w:val="24"/>
          <w:szCs w:val="24"/>
        </w:rPr>
        <w:t xml:space="preserve">PLAINTIFF'S REPLICATION TO THE DEFENDANTS' STATEMENT OF RESPONSE</w:t>
      </w:r>
    </w:p>
    <w:p>
      <w:pPr>
        <w:spacing w:after="0" w:before="0"/>
      </w:pPr>
      <w:r>
        <w:rPr>
          <w:rFonts w:ascii="Times New Roman" w:cs="Times New Roman" w:eastAsia="Times New Roman" w:hAnsi="Times New Roman"/>
          <w:sz w:val="22"/>
          <w:szCs w:val="22"/>
        </w:rPr>
        <w:t xml:space="preserve"/>
      </w:r>
    </w:p>
    <w:p>
      <w:pPr>
        <w:pBdr>
          <w:bottom w:val="single" w:color="000000" w:sz="6" w:space="1"/>
        </w:pBdr>
        <w:spacing w:after="140" w:before="14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sz w:val="22"/>
          <w:szCs w:val="22"/>
        </w:rPr>
        <w:t xml:space="preserve">The Plaintiff, appearing in person, hereby replies as follows to the Defendants' Statement of Response dated 19 May 2026 (</w:t>
      </w:r>
      <w:r>
        <w:rPr>
          <w:rFonts w:ascii="Times New Roman" w:cs="Times New Roman" w:eastAsia="Times New Roman" w:hAnsi="Times New Roman"/>
          <w:b/>
          <w:bCs/>
          <w:sz w:val="22"/>
          <w:szCs w:val="22"/>
        </w:rPr>
        <w:t xml:space="preserve">"the Response"</w:t>
      </w:r>
      <w:r>
        <w:rPr>
          <w:rFonts w:ascii="Times New Roman" w:cs="Times New Roman" w:eastAsia="Times New Roman" w:hAnsi="Times New Roman"/>
          <w:sz w:val="22"/>
          <w:szCs w:val="22"/>
        </w:rPr>
        <w:t xml:space="preserve">):</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1.  THE THRESHOLD SPECIAL DEFENCE: PROCEDURAL NULLITY AND CORPORATE IDENTITY MISREPRESENTATION</w:t>
      </w:r>
    </w:p>
    <w:p>
      <w:pPr>
        <w:spacing w:after="140" w:before="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The First Defendant explicitly cited by the Plaintiff in these proceedings is </w:t>
      </w:r>
      <w:r>
        <w:rPr>
          <w:rFonts w:ascii="Times New Roman" w:cs="Times New Roman" w:eastAsia="Times New Roman" w:hAnsi="Times New Roman"/>
          <w:b/>
          <w:bCs/>
          <w:sz w:val="22"/>
          <w:szCs w:val="22"/>
        </w:rPr>
        <w:t xml:space="preserve">AFROCENTRIC HEALTH (PTY) LTD</w:t>
      </w:r>
      <w:r>
        <w:rPr>
          <w:rFonts w:ascii="Times New Roman" w:cs="Times New Roman" w:eastAsia="Times New Roman" w:hAnsi="Times New Roman"/>
          <w:sz w:val="22"/>
          <w:szCs w:val="22"/>
        </w:rPr>
        <w:t xml:space="preserve"> (Registration Number: 1996/009540/07).</w:t>
      </w:r>
    </w:p>
    <w:p>
      <w:pPr>
        <w:spacing w:after="140" w:before="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The Response filed on 19 May 2026 is signed by Mr. Vijay Makenjee, who purports to execute the signature block on page 7 </w:t>
      </w:r>
      <w:r>
        <w:rPr>
          <w:rFonts w:ascii="Times New Roman" w:cs="Times New Roman" w:eastAsia="Times New Roman" w:hAnsi="Times New Roman"/>
          <w:i/>
          <w:iCs/>
          <w:sz w:val="22"/>
          <w:szCs w:val="22"/>
        </w:rPr>
        <w:t xml:space="preserve">"obo AFROCENTRIC RF (PTY) LTD"</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AFROCENTRIC RF (PTY) LTD</w:t>
      </w:r>
      <w:r>
        <w:rPr>
          <w:rFonts w:ascii="Times New Roman" w:cs="Times New Roman" w:eastAsia="Times New Roman" w:hAnsi="Times New Roman"/>
          <w:sz w:val="22"/>
          <w:szCs w:val="22"/>
        </w:rPr>
        <w:t xml:space="preserve"> is a separate juristic entity and is not a cited party to these proceedings. The principle of separate legal personality — entrenched in South African law since </w:t>
      </w:r>
      <w:r>
        <w:rPr>
          <w:rFonts w:ascii="Times New Roman" w:cs="Times New Roman" w:eastAsia="Times New Roman" w:hAnsi="Times New Roman"/>
          <w:i/>
          <w:iCs/>
          <w:sz w:val="22"/>
          <w:szCs w:val="22"/>
        </w:rPr>
        <w:t xml:space="preserve">Salomon v Salomon &amp; Co Ltd [1897] AC 22</w:t>
      </w:r>
      <w:r>
        <w:rPr>
          <w:rFonts w:ascii="Times New Roman" w:cs="Times New Roman" w:eastAsia="Times New Roman" w:hAnsi="Times New Roman"/>
          <w:sz w:val="22"/>
          <w:szCs w:val="22"/>
        </w:rPr>
        <w:t xml:space="preserve"> and affirmed in the Companies Act 71 of 2008 — is absolute. A corporate official of a non-cited entity cannot enter a valid defence to claims levied against an entirely distinct subsidiary.</w:t>
      </w:r>
    </w:p>
    <w:p>
      <w:pPr>
        <w:spacing w:after="140" w:before="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The so-called </w:t>
      </w:r>
      <w:r>
        <w:rPr>
          <w:rFonts w:ascii="Times New Roman" w:cs="Times New Roman" w:eastAsia="Times New Roman" w:hAnsi="Times New Roman"/>
          <w:i/>
          <w:iCs/>
          <w:sz w:val="22"/>
          <w:szCs w:val="22"/>
        </w:rPr>
        <w:t xml:space="preserve">"common employer"</w:t>
      </w:r>
      <w:r>
        <w:rPr>
          <w:rFonts w:ascii="Times New Roman" w:cs="Times New Roman" w:eastAsia="Times New Roman" w:hAnsi="Times New Roman"/>
          <w:sz w:val="22"/>
          <w:szCs w:val="22"/>
        </w:rPr>
        <w:t xml:space="preserve"> doctrine does not cure this defect. That doctrine operates to establish the identity of the true employer for substantive purposes; it does not permit a separate juristic entity to usurp the procedural standing of a cited party and enter a defence on its behalf. See: </w:t>
      </w:r>
      <w:r>
        <w:rPr>
          <w:rFonts w:ascii="Times New Roman" w:cs="Times New Roman" w:eastAsia="Times New Roman" w:hAnsi="Times New Roman"/>
          <w:i/>
          <w:iCs/>
          <w:sz w:val="22"/>
          <w:szCs w:val="22"/>
        </w:rPr>
        <w:t xml:space="preserve">Kylie v CCMA 2010 (4) SA 383 (LAC)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Dinamics and Others v Group Five Construction 2003 24 ILJ 305 (LC)</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Furthermore, the Response is fundamentally defective in that it is entirely devoid of a </w:t>
      </w:r>
      <w:r>
        <w:rPr>
          <w:rFonts w:ascii="Times New Roman" w:cs="Times New Roman" w:eastAsia="Times New Roman" w:hAnsi="Times New Roman"/>
          <w:b/>
          <w:bCs/>
          <w:sz w:val="22"/>
          <w:szCs w:val="22"/>
        </w:rPr>
        <w:t xml:space="preserve">Verifying Affidavit</w:t>
      </w:r>
      <w:r>
        <w:rPr>
          <w:rFonts w:ascii="Times New Roman" w:cs="Times New Roman" w:eastAsia="Times New Roman" w:hAnsi="Times New Roman"/>
          <w:sz w:val="22"/>
          <w:szCs w:val="22"/>
        </w:rPr>
        <w:t xml:space="preserve"> under oath. Rule 6(5)(c) of the Labour Court Rules requires that a statement of response be verified under oath by a deponent with direct, first-hand knowledge of the facts. An unverified pleading places no admissible evidence before the Court. See: </w:t>
      </w:r>
      <w:r>
        <w:rPr>
          <w:rFonts w:ascii="Times New Roman" w:cs="Times New Roman" w:eastAsia="Times New Roman" w:hAnsi="Times New Roman"/>
          <w:i/>
          <w:iCs/>
          <w:sz w:val="22"/>
          <w:szCs w:val="22"/>
        </w:rPr>
        <w:t xml:space="preserve">National Union of Metalworkers of SA v Intervalve (Pty) Ltd 2015 (2) SA 1 (CC)</w:t>
      </w:r>
      <w:r>
        <w:rPr>
          <w:rFonts w:ascii="Times New Roman" w:cs="Times New Roman" w:eastAsia="Times New Roman" w:hAnsi="Times New Roman"/>
          <w:sz w:val="22"/>
          <w:szCs w:val="22"/>
        </w:rPr>
        <w:t xml:space="preserve"> at para 54; </w:t>
      </w:r>
      <w:r>
        <w:rPr>
          <w:rFonts w:ascii="Times New Roman" w:cs="Times New Roman" w:eastAsia="Times New Roman" w:hAnsi="Times New Roman"/>
          <w:i/>
          <w:iCs/>
          <w:sz w:val="22"/>
          <w:szCs w:val="22"/>
        </w:rPr>
        <w:t xml:space="preserve">NUMSA v Bader Bop (Pty) Ltd 2003 (3) SA 513 (CC)</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The Response is therefore a procedural nullity on two independent grounds — corporate identity misrepresentation and absence of verification — and must be struck out in its entirety. The Plaintiff accordingly prays, as a first and threshold order, for the striking out of the Response.</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2.  FATAL SELECTIVE SILENCE AND IMPLIED ADMISSIONS OF OCCUPATIONAL DETRIMENT</w:t>
      </w:r>
    </w:p>
    <w:p>
      <w:pPr>
        <w:spacing w:after="140" w:before="0"/>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The Defendants' Response consists of blanket, superficial denials and retreats into total, calculated silence on the material factual averments that form the core of the Plaintiff's claim of an intolerable work environment and occupational detriment.</w:t>
      </w:r>
    </w:p>
    <w:p>
      <w:pPr>
        <w:spacing w:after="140" w:before="0"/>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The established rule in South African pleading law is clear: where a party fails to specifically deny a material allegation of fact, that allegation is deemed to be admitted. This principle was authoritatively confirmed in </w:t>
      </w:r>
      <w:r>
        <w:rPr>
          <w:rFonts w:ascii="Times New Roman" w:cs="Times New Roman" w:eastAsia="Times New Roman" w:hAnsi="Times New Roman"/>
          <w:i/>
          <w:iCs/>
          <w:sz w:val="22"/>
          <w:szCs w:val="22"/>
        </w:rPr>
        <w:t xml:space="preserve">Swissborough Diamond Mines (Pty) Ltd v Government of the Republic of South Africa 1999 (2) SA 279 (T)</w:t>
      </w:r>
      <w:r>
        <w:rPr>
          <w:rFonts w:ascii="Times New Roman" w:cs="Times New Roman" w:eastAsia="Times New Roman" w:hAnsi="Times New Roman"/>
          <w:sz w:val="22"/>
          <w:szCs w:val="22"/>
        </w:rPr>
        <w:t xml:space="preserve"> and is entrenched in Rule 22(2) of the Uniform Rules of Court, applicable to the Labour Court by analogy. The Defendants were required to deal with each material allegation — silence constitutes an implied admission.</w:t>
      </w:r>
    </w:p>
    <w:p>
      <w:pPr>
        <w:spacing w:after="140" w:before="0"/>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The "Wilma Incident" — Admitted by Silence:  </w:t>
      </w:r>
      <w:r>
        <w:rPr>
          <w:rFonts w:ascii="Times New Roman" w:cs="Times New Roman" w:eastAsia="Times New Roman" w:hAnsi="Times New Roman"/>
          <w:sz w:val="22"/>
          <w:szCs w:val="22"/>
        </w:rPr>
        <w:t xml:space="preserve">The Defendants completely fail to address, deny, or engage the specific, documented operational incidents involving Wilma, which directly initiated the systematic psychological hostility, deliberate distortion of the Plaintiff's legitimate workplace concerns, and targeted isolation that preceded the constructive dismissal.</w:t>
      </w:r>
    </w:p>
    <w:p>
      <w:pPr>
        <w:spacing w:after="140" w:before="0"/>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The 30+ Day Executive Silence — Admitted by Silence:  </w:t>
      </w:r>
      <w:r>
        <w:rPr>
          <w:rFonts w:ascii="Times New Roman" w:cs="Times New Roman" w:eastAsia="Times New Roman" w:hAnsi="Times New Roman"/>
          <w:sz w:val="22"/>
          <w:szCs w:val="22"/>
        </w:rPr>
        <w:t xml:space="preserve">The Defendants provide no legal, operational, or contractual justification for the prolonged period of more than 30 consecutive days of total administrative silence following the Plaintiff's formal escalation of critical workplace grievances. This complete abandonment of the internal dispute resolution mechanism objectively demonstrated to the Plaintiff that the employment relationship had been broken by management and that no internal remedy remained available.</w:t>
      </w:r>
    </w:p>
    <w:p>
      <w:pPr>
        <w:spacing w:after="140" w:before="0"/>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The CEO's Confidentiality Breach — Admitted by Silence:  </w:t>
      </w:r>
      <w:r>
        <w:rPr>
          <w:rFonts w:ascii="Times New Roman" w:cs="Times New Roman" w:eastAsia="Times New Roman" w:hAnsi="Times New Roman"/>
          <w:sz w:val="22"/>
          <w:szCs w:val="22"/>
        </w:rPr>
        <w:t xml:space="preserve">The Defendants offer no denial, counter-narrative, or explanation regarding the severe breach of confidentiality committed by the Group Chief Executive Officer, who compromised the integrity of the Plaintiff's protected disclosures and escalations.</w:t>
      </w:r>
    </w:p>
    <w:p>
      <w:pPr>
        <w:spacing w:after="140" w:before="0"/>
        <w:jc w:val="both"/>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By retreating into calculated silence on these pivotal factual matters, the Defendants have failed to establish any triable issue regarding the intolerability of the workplace. Their silence operates in law as an admission of the operational toxicity that rendered the Plaintiff's continued employment intolerable and compelled his constructive resignation.</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3.  MATERIAL FALSE STATEMENT UNDER OATH AND CROSS-JURISDICTIONAL DECEPTION (THE CASE NUMBER COLLISION)</w:t>
      </w:r>
    </w:p>
    <w:p>
      <w:pPr>
        <w:spacing w:after="140" w:before="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 4 (Ad Paragraph 6 of Part A)</w:t>
      </w:r>
      <w:r>
        <w:rPr>
          <w:rFonts w:ascii="Times New Roman" w:cs="Times New Roman" w:eastAsia="Times New Roman" w:hAnsi="Times New Roman"/>
          <w:sz w:val="22"/>
          <w:szCs w:val="22"/>
        </w:rPr>
        <w:t xml:space="preserve"> of the Response, signed by Vijay Makenjee on 19 May 2026, the Defendants state under oath:</w:t>
      </w:r>
    </w:p>
    <w:p>
      <w:pPr>
        <w:pBdr>
          <w:left w:val="single" w:color="444444" w:sz="8" w:space="12"/>
        </w:pBdr>
        <w:spacing w:after="140" w:before="140"/>
        <w:ind w:left="800" w:right="800"/>
        <w:jc w:val="both"/>
      </w:pPr>
      <w:r>
        <w:rPr>
          <w:rFonts w:ascii="Times New Roman" w:cs="Times New Roman" w:eastAsia="Times New Roman" w:hAnsi="Times New Roman"/>
          <w:i/>
          <w:iCs/>
          <w:sz w:val="21"/>
          <w:szCs w:val="21"/>
        </w:rPr>
        <w:t xml:space="preserve">"The Defendants are not aware of any further claim in the above honorable court with case number 2026-077546."</w:t>
      </w:r>
    </w:p>
    <w:p>
      <w:pPr>
        <w:spacing w:after="140" w:before="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This sworn averment is demonstrably false and constitutes a material false statement made under oath, calculated to mislead this Honourable Court and to avoid the default consequences attendant upon Case No: 2026-077546. In civil proceedings, a material false averment under oath may constitute contempt of court and is directly relevant to the credibility and good faith of the deponent. See: </w:t>
      </w:r>
      <w:r>
        <w:rPr>
          <w:rFonts w:ascii="Times New Roman" w:cs="Times New Roman" w:eastAsia="Times New Roman" w:hAnsi="Times New Roman"/>
          <w:i/>
          <w:iCs/>
          <w:sz w:val="22"/>
          <w:szCs w:val="22"/>
        </w:rPr>
        <w:t xml:space="preserve">S v Paramasivan 1998 (1) SACR 239 (N)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Fakie NO v CCII Systems (Pty) Ltd 2006 (4) SA 326 (SCA)</w:t>
      </w:r>
      <w:r>
        <w:rPr>
          <w:rFonts w:ascii="Times New Roman" w:cs="Times New Roman" w:eastAsia="Times New Roman" w:hAnsi="Times New Roman"/>
          <w:sz w:val="22"/>
          <w:szCs w:val="22"/>
        </w:rPr>
        <w:t xml:space="preserve"> at para 42.</w:t>
      </w:r>
    </w:p>
    <w:p>
      <w:pPr>
        <w:spacing w:after="140" w:before="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On </w:t>
      </w:r>
      <w:r>
        <w:rPr>
          <w:rFonts w:ascii="Times New Roman" w:cs="Times New Roman" w:eastAsia="Times New Roman" w:hAnsi="Times New Roman"/>
          <w:b/>
          <w:bCs/>
          <w:sz w:val="22"/>
          <w:szCs w:val="22"/>
        </w:rPr>
        <w:t xml:space="preserve">16 April 2026</w:t>
      </w:r>
      <w:r>
        <w:rPr>
          <w:rFonts w:ascii="Times New Roman" w:cs="Times New Roman" w:eastAsia="Times New Roman" w:hAnsi="Times New Roman"/>
          <w:sz w:val="22"/>
          <w:szCs w:val="22"/>
        </w:rPr>
        <w:t xml:space="preserve">, in parallel urgent proceedings before the Western Cape High Court (Case No: 2026-086906), the Group Chief Executive Officer of the Defendants' parent corporate structure, </w:t>
      </w:r>
      <w:r>
        <w:rPr>
          <w:rFonts w:ascii="Times New Roman" w:cs="Times New Roman" w:eastAsia="Times New Roman" w:hAnsi="Times New Roman"/>
          <w:b/>
          <w:bCs/>
          <w:sz w:val="22"/>
          <w:szCs w:val="22"/>
        </w:rPr>
        <w:t xml:space="preserve">GERALD NEVILLE VAN WYK</w:t>
      </w:r>
      <w:r>
        <w:rPr>
          <w:rFonts w:ascii="Times New Roman" w:cs="Times New Roman" w:eastAsia="Times New Roman" w:hAnsi="Times New Roman"/>
          <w:sz w:val="22"/>
          <w:szCs w:val="22"/>
        </w:rPr>
        <w:t xml:space="preserve">, deposed to a Founding Affidavit under oath in which he explicitly acknowledged the existence of the disputed statutory and financial claims regarding the Plaintiff's remuneration, and represented that the corporate structure intended to defend </w:t>
      </w:r>
      <w:r>
        <w:rPr>
          <w:rFonts w:ascii="Times New Roman" w:cs="Times New Roman" w:eastAsia="Times New Roman" w:hAnsi="Times New Roman"/>
          <w:i/>
          <w:iCs/>
          <w:sz w:val="22"/>
          <w:szCs w:val="22"/>
        </w:rPr>
        <w:t xml:space="preserve">both</w:t>
      </w:r>
      <w:r>
        <w:rPr>
          <w:rFonts w:ascii="Times New Roman" w:cs="Times New Roman" w:eastAsia="Times New Roman" w:hAnsi="Times New Roman"/>
          <w:sz w:val="22"/>
          <w:szCs w:val="22"/>
        </w:rPr>
        <w:t xml:space="preserve"> specialised Labour Court actions.</w:t>
      </w:r>
    </w:p>
    <w:p>
      <w:pPr>
        <w:spacing w:after="140" w:before="0"/>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Furthermore, the Plaintiff's Application for Repayment of Unlawfully Recovered Remuneration under </w:t>
      </w:r>
      <w:r>
        <w:rPr>
          <w:rFonts w:ascii="Times New Roman" w:cs="Times New Roman" w:eastAsia="Times New Roman" w:hAnsi="Times New Roman"/>
          <w:b/>
          <w:bCs/>
          <w:sz w:val="22"/>
          <w:szCs w:val="22"/>
        </w:rPr>
        <w:t xml:space="preserve">Case No: 2026-077546</w:t>
      </w:r>
      <w:r>
        <w:rPr>
          <w:rFonts w:ascii="Times New Roman" w:cs="Times New Roman" w:eastAsia="Times New Roman" w:hAnsi="Times New Roman"/>
          <w:sz w:val="22"/>
          <w:szCs w:val="22"/>
        </w:rPr>
        <w:t xml:space="preserve"> was formally served via electronic mail upon the Group Company Secretary and Head of Legal Counsel, </w:t>
      </w:r>
      <w:r>
        <w:rPr>
          <w:rFonts w:ascii="Times New Roman" w:cs="Times New Roman" w:eastAsia="Times New Roman" w:hAnsi="Times New Roman"/>
          <w:b/>
          <w:bCs/>
          <w:sz w:val="22"/>
          <w:szCs w:val="22"/>
        </w:rPr>
        <w:t xml:space="preserve">Lebohang Shadi Matsipa Mpumlwana</w:t>
      </w:r>
      <w:r>
        <w:rPr>
          <w:rFonts w:ascii="Times New Roman" w:cs="Times New Roman" w:eastAsia="Times New Roman" w:hAnsi="Times New Roman"/>
          <w:sz w:val="22"/>
          <w:szCs w:val="22"/>
        </w:rPr>
        <w:t xml:space="preserve">, on </w:t>
      </w:r>
      <w:r>
        <w:rPr>
          <w:rFonts w:ascii="Times New Roman" w:cs="Times New Roman" w:eastAsia="Times New Roman" w:hAnsi="Times New Roman"/>
          <w:b/>
          <w:bCs/>
          <w:sz w:val="22"/>
          <w:szCs w:val="22"/>
        </w:rPr>
        <w:t xml:space="preserve">13 April 2026 at 22:03</w:t>
      </w:r>
      <w:r>
        <w:rPr>
          <w:rFonts w:ascii="Times New Roman" w:cs="Times New Roman" w:eastAsia="Times New Roman" w:hAnsi="Times New Roman"/>
          <w:sz w:val="22"/>
          <w:szCs w:val="22"/>
        </w:rPr>
        <w:t xml:space="preserve">. Automated electronic delivery tracking and read receipts confirm that executive corporate legal counsel received and opened the application bundle weeks prior to the filing of this Response. The Defendants' assertion of non-awareness is therefore directly contradicted by their own corporate record and by the sworn averments of their own Group CEO before the High Court.</w:t>
      </w:r>
    </w:p>
    <w:p>
      <w:pPr>
        <w:spacing w:after="140" w:before="0"/>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By failing to enter an appearance to defend Case No: 2026-077546 within the mandatory 10-day statutory period, the material facts within that file stand entirely unopposed. The doctrine that a party who fails to oppose is bound by the consequences of that election applies with full force. See: </w:t>
      </w:r>
      <w:r>
        <w:rPr>
          <w:rFonts w:ascii="Times New Roman" w:cs="Times New Roman" w:eastAsia="Times New Roman" w:hAnsi="Times New Roman"/>
          <w:i/>
          <w:iCs/>
          <w:sz w:val="22"/>
          <w:szCs w:val="22"/>
        </w:rPr>
        <w:t xml:space="preserve">Grant v Plumbers (Pty) Ltd 1949 (2) SA 470 (O)</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Molefe v Mahaeng 1999 (1) SA 562 (SCA)</w:t>
      </w:r>
      <w:r>
        <w:rPr>
          <w:rFonts w:ascii="Times New Roman" w:cs="Times New Roman" w:eastAsia="Times New Roman" w:hAnsi="Times New Roman"/>
          <w:sz w:val="22"/>
          <w:szCs w:val="22"/>
        </w:rPr>
        <w:t xml:space="preserve">. The matter is accordingly ripe for default judgment.</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4.  THE UNCONTRADICTED STATUTORY CEILING VIOLATION, FACTUAL MISREPRESENTATION, AND MALICIOUS POLICY VIOLATION (THE RETROSPECTIVE JULY DECEPTIONS)</w:t>
      </w:r>
    </w:p>
    <w:p>
      <w:pPr>
        <w:spacing w:after="140" w:before="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 2 (Ad Paragraphs 1 to 5 of Part A)</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Paragraph 28</w:t>
      </w:r>
      <w:r>
        <w:rPr>
          <w:rFonts w:ascii="Times New Roman" w:cs="Times New Roman" w:eastAsia="Times New Roman" w:hAnsi="Times New Roman"/>
          <w:sz w:val="22"/>
          <w:szCs w:val="22"/>
        </w:rPr>
        <w:t xml:space="preserve"> of the Response, the Defendants state under oath:</w:t>
      </w:r>
    </w:p>
    <w:p>
      <w:pPr>
        <w:pBdr>
          <w:left w:val="single" w:color="444444" w:sz="8" w:space="12"/>
        </w:pBdr>
        <w:spacing w:after="140" w:before="140"/>
        <w:ind w:left="800" w:right="800"/>
        <w:jc w:val="both"/>
      </w:pPr>
      <w:r>
        <w:rPr>
          <w:rFonts w:ascii="Times New Roman" w:cs="Times New Roman" w:eastAsia="Times New Roman" w:hAnsi="Times New Roman"/>
          <w:i/>
          <w:iCs/>
          <w:sz w:val="21"/>
          <w:szCs w:val="21"/>
        </w:rPr>
        <w:t xml:space="preserve">"The Plaintiff was on sick leave but had exhausted annual and sick leave. The principle of no work, no pay applied."</w:t>
      </w:r>
      <w:r>
        <w:rPr>
          <w:rFonts w:ascii="Times New Roman" w:cs="Times New Roman" w:eastAsia="Times New Roman" w:hAnsi="Times New Roman"/>
          <w:i/>
          <w:iCs/>
          <w:sz w:val="21"/>
          <w:szCs w:val="21"/>
        </w:rPr>
        <w:br/>
        <w:t xml:space="preserve"> </w:t>
      </w:r>
      <w:r>
        <w:rPr>
          <w:rFonts w:ascii="Times New Roman" w:cs="Times New Roman" w:eastAsia="Times New Roman" w:hAnsi="Times New Roman"/>
          <w:i/>
          <w:iCs/>
          <w:sz w:val="21"/>
          <w:szCs w:val="21"/>
        </w:rPr>
        <w:br/>
        <w:t xml:space="preserve">"The Defendants maintain that the Plaintiff's July 2025 salary aligned to the days worked in July 2025..."</w:t>
      </w:r>
    </w:p>
    <w:p>
      <w:pPr>
        <w:spacing w:after="140" w:before="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The Plaintiff avers that these statements are bad in law and constitute a flagrant factual misrepresentation explicitly designed to mislead this Honourable Court.</w:t>
      </w:r>
    </w:p>
    <w:p>
      <w:pPr>
        <w:spacing w:after="140" w:before="0"/>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The Defendants assert that the July 2025 salary reduction was an automatic operational </w:t>
      </w:r>
      <w:r>
        <w:rPr>
          <w:rFonts w:ascii="Times New Roman" w:cs="Times New Roman" w:eastAsia="Times New Roman" w:hAnsi="Times New Roman"/>
          <w:i/>
          <w:iCs/>
          <w:sz w:val="22"/>
          <w:szCs w:val="22"/>
        </w:rPr>
        <w:t xml:space="preserve">"alignment to days worked in July 2025."</w:t>
      </w:r>
      <w:r>
        <w:rPr>
          <w:rFonts w:ascii="Times New Roman" w:cs="Times New Roman" w:eastAsia="Times New Roman" w:hAnsi="Times New Roman"/>
          <w:sz w:val="22"/>
          <w:szCs w:val="22"/>
        </w:rPr>
        <w:t xml:space="preserve"> This assertion is mathematically and operationally impossible. The Plaintiff's minor, documented absences in July 2025 consisted strictly of 1 to 3 isolated days utilised to attend medical appointments following his discharge from a registered Mental Health Institution.</w:t>
      </w:r>
    </w:p>
    <w:p>
      <w:pPr>
        <w:spacing w:after="140" w:before="0"/>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Had the Defendants genuinely applied a live, real-time </w:t>
      </w:r>
      <w:r>
        <w:rPr>
          <w:rFonts w:ascii="Times New Roman" w:cs="Times New Roman" w:eastAsia="Times New Roman" w:hAnsi="Times New Roman"/>
          <w:i/>
          <w:iCs/>
          <w:sz w:val="22"/>
          <w:szCs w:val="22"/>
        </w:rPr>
        <w:t xml:space="preserve">"no work, no pay"</w:t>
      </w:r>
      <w:r>
        <w:rPr>
          <w:rFonts w:ascii="Times New Roman" w:cs="Times New Roman" w:eastAsia="Times New Roman" w:hAnsi="Times New Roman"/>
          <w:sz w:val="22"/>
          <w:szCs w:val="22"/>
        </w:rPr>
        <w:t xml:space="preserve"> alignment strictly for days absent in July 2025, the total operational deduction would have been limited to a minor fraction of the Plaintiff's earnings — representing approximately 1 to 3 daily operational units out of a 23-working-day month. The arithmetic alone exposes the misrepresentation.</w:t>
      </w:r>
    </w:p>
    <w:p>
      <w:pPr>
        <w:spacing w:after="140" w:before="0"/>
        <w:jc w:val="both"/>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Instead, the Defendants processed a destructive extraction totalling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 equivalent to 40.47% of gross earnings. The sheer volume of this extraction demonstrates that the July 2025 payslip was used to execute a retrospective clawback for historical, disputed days stretching back into May and June 2025, falsely dressed as a current-month alignment.</w:t>
      </w:r>
    </w:p>
    <w:p>
      <w:pPr>
        <w:spacing w:after="140" w:before="0"/>
        <w:jc w:val="both"/>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The true operational context of this extraction demonstrates bad faith and targeted malice. Immediately upon the Plaintiff's physical discharge and return to work from a registered Mental Health Institution — where he was admitted for treatment of severe PTSD and major depressive disorder — the Second Defendant's management bypassed a humane, structured back-to-work reintegration and immediately forced an adversarial financial confrontation.</w:t>
      </w:r>
    </w:p>
    <w:p>
      <w:pPr>
        <w:spacing w:after="140" w:before="0"/>
        <w:jc w:val="both"/>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During this meeting, the Plaintiff disclosed his acute psychiatric vulnerability, his financial constraints, and his need for structural stability. In direct response to this medical disclosure, the Second Defendant's manager issued a hostile follow-up electronic mail message actively misrepresenting the Defendants' own internal policy, stating:</w:t>
      </w:r>
    </w:p>
    <w:p>
      <w:pPr>
        <w:pBdr>
          <w:left w:val="single" w:color="444444" w:sz="8" w:space="12"/>
        </w:pBdr>
        <w:spacing w:after="140" w:before="140"/>
        <w:ind w:left="800" w:right="800"/>
        <w:jc w:val="both"/>
      </w:pPr>
      <w:r>
        <w:rPr>
          <w:rFonts w:ascii="Times New Roman" w:cs="Times New Roman" w:eastAsia="Times New Roman" w:hAnsi="Times New Roman"/>
          <w:i/>
          <w:iCs/>
          <w:sz w:val="21"/>
          <w:szCs w:val="21"/>
        </w:rPr>
        <w:t xml:space="preserve">"We don't allow staggering. We are not a loan company."</w:t>
      </w:r>
    </w:p>
    <w:p>
      <w:pPr>
        <w:spacing w:after="140" w:before="0"/>
        <w:jc w:val="both"/>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This statement constitutes a demonstrable, written misrepresentation. The Defendants' own operative </w:t>
      </w:r>
      <w:r>
        <w:rPr>
          <w:rFonts w:ascii="Times New Roman" w:cs="Times New Roman" w:eastAsia="Times New Roman" w:hAnsi="Times New Roman"/>
          <w:b/>
          <w:bCs/>
          <w:sz w:val="22"/>
          <w:szCs w:val="22"/>
        </w:rPr>
        <w:t xml:space="preserve">Human Capital Business Partner (HCBP) Policy</w:t>
      </w:r>
      <w:r>
        <w:rPr>
          <w:rFonts w:ascii="Times New Roman" w:cs="Times New Roman" w:eastAsia="Times New Roman" w:hAnsi="Times New Roman"/>
          <w:sz w:val="22"/>
          <w:szCs w:val="22"/>
        </w:rPr>
        <w:t xml:space="preserve"> explicitly mandates that payroll corrections and historical leave recoveries be handled via a structured consultation process, with an express provision for staggered recoveries over multiple pay cycles to protect an employee's basic livelihood. The manager's statement denying the existence of this provision is directly contradicted by the Defendants' own operative policy documentation.</w:t>
      </w:r>
    </w:p>
    <w:p>
      <w:pPr>
        <w:spacing w:after="140" w:before="0"/>
        <w:jc w:val="both"/>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By disguising a massive retrospective clawback as a real-time current-month alignment, and by misrepresenting their own internal policy to deny a medically vulnerable employee the protection to which he was entitled, the Defendants have exposed the targeted and retaliatory nature of their payroll administration.</w:t>
      </w:r>
    </w:p>
    <w:p>
      <w:pPr>
        <w:spacing w:after="140" w:before="0"/>
        <w:jc w:val="both"/>
      </w:pPr>
      <w:r>
        <w:rPr>
          <w:rFonts w:ascii="Times New Roman" w:cs="Times New Roman" w:eastAsia="Times New Roman" w:hAnsi="Times New Roman"/>
          <w:b/>
          <w:bCs/>
          <w:sz w:val="22"/>
          <w:szCs w:val="22"/>
        </w:rPr>
        <w:t xml:space="preserve">4.10  </w:t>
      </w:r>
      <w:r>
        <w:rPr>
          <w:rFonts w:ascii="Times New Roman" w:cs="Times New Roman" w:eastAsia="Times New Roman" w:hAnsi="Times New Roman"/>
          <w:sz w:val="22"/>
          <w:szCs w:val="22"/>
        </w:rPr>
        <w:t xml:space="preserve">Regardless of the characterisation of the deduction, the Defendants were strictly bound by Section 34 of the Basic Conditions of Employment Act 75 of 1997 (</w:t>
      </w:r>
      <w:r>
        <w:rPr>
          <w:rFonts w:ascii="Times New Roman" w:cs="Times New Roman" w:eastAsia="Times New Roman" w:hAnsi="Times New Roman"/>
          <w:b/>
          <w:bCs/>
          <w:sz w:val="22"/>
          <w:szCs w:val="22"/>
        </w:rPr>
        <w:t xml:space="preserve">"BCEA"</w:t>
      </w:r>
      <w:r>
        <w:rPr>
          <w:rFonts w:ascii="Times New Roman" w:cs="Times New Roman" w:eastAsia="Times New Roman" w:hAnsi="Times New Roman"/>
          <w:sz w:val="22"/>
          <w:szCs w:val="22"/>
        </w:rPr>
        <w:t xml:space="preserve">). Section 34(1) of the BCEA prohibits any deduction from an employee's remuneration without the employee's express written consent or a permissible legal basis. No written consent was obtained from the Plaintiff at any stage. See: </w:t>
      </w:r>
      <w:r>
        <w:rPr>
          <w:rFonts w:ascii="Times New Roman" w:cs="Times New Roman" w:eastAsia="Times New Roman" w:hAnsi="Times New Roman"/>
          <w:i/>
          <w:iCs/>
          <w:sz w:val="22"/>
          <w:szCs w:val="22"/>
        </w:rPr>
        <w:t xml:space="preserve">Chirwa v Transnet Ltd 2008 (4) SA 367 (CC)</w:t>
      </w:r>
      <w:r>
        <w:rPr>
          <w:rFonts w:ascii="Times New Roman" w:cs="Times New Roman" w:eastAsia="Times New Roman" w:hAnsi="Times New Roman"/>
          <w:sz w:val="22"/>
          <w:szCs w:val="22"/>
        </w:rPr>
        <w:t xml:space="preserve"> at para 156; </w:t>
      </w:r>
      <w:r>
        <w:rPr>
          <w:rFonts w:ascii="Times New Roman" w:cs="Times New Roman" w:eastAsia="Times New Roman" w:hAnsi="Times New Roman"/>
          <w:i/>
          <w:iCs/>
          <w:sz w:val="22"/>
          <w:szCs w:val="22"/>
        </w:rPr>
        <w:t xml:space="preserve">Member of Executive Council for Finance, KwaZulu-Natal v Dorkin NO 2008 (2) SA 192 (SCA)</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4.11  </w:t>
      </w:r>
      <w:r>
        <w:rPr>
          <w:rFonts w:ascii="Times New Roman" w:cs="Times New Roman" w:eastAsia="Times New Roman" w:hAnsi="Times New Roman"/>
          <w:sz w:val="22"/>
          <w:szCs w:val="22"/>
        </w:rPr>
        <w:t xml:space="preserve">Section 34(2) of the BCEA establishes an absolute statutory ceiling: even where a deduction is legally permissible, it </w:t>
      </w:r>
      <w:r>
        <w:rPr>
          <w:rFonts w:ascii="Times New Roman" w:cs="Times New Roman" w:eastAsia="Times New Roman" w:hAnsi="Times New Roman"/>
          <w:b/>
          <w:bCs/>
          <w:sz w:val="22"/>
          <w:szCs w:val="22"/>
        </w:rPr>
        <w:t xml:space="preserve">may not exceed one-quarter (25%) of the employee's gross remuneration</w:t>
      </w:r>
      <w:r>
        <w:rPr>
          <w:rFonts w:ascii="Times New Roman" w:cs="Times New Roman" w:eastAsia="Times New Roman" w:hAnsi="Times New Roman"/>
          <w:sz w:val="22"/>
          <w:szCs w:val="22"/>
        </w:rPr>
        <w:t xml:space="preserve">. This ceiling is non-waivable, admits of no judicial discretion, and applies irrespective of the label the employer attaches to the deduction. See: </w:t>
      </w:r>
      <w:r>
        <w:rPr>
          <w:rFonts w:ascii="Times New Roman" w:cs="Times New Roman" w:eastAsia="Times New Roman" w:hAnsi="Times New Roman"/>
          <w:i/>
          <w:iCs/>
          <w:sz w:val="22"/>
          <w:szCs w:val="22"/>
        </w:rPr>
        <w:t xml:space="preserve">Wardlaw v Supreme Mouldings (Pty) Ltd (2007) 28 ILJ 1042 (LAC)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Botha v Du Preez NO (2002) 23 ILJ 2347 (LC)</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4.12  </w:t>
      </w:r>
      <w:r>
        <w:rPr>
          <w:rFonts w:ascii="Times New Roman" w:cs="Times New Roman" w:eastAsia="Times New Roman" w:hAnsi="Times New Roman"/>
          <w:sz w:val="22"/>
          <w:szCs w:val="22"/>
        </w:rPr>
        <w:t xml:space="preserve">The Plaintiff's verified July 2025 payslip — already before the Court in the annexure bundle to the Statement of Claim — reflects the following unlawful configuration:</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Contractual Gross Normal Earnings:  </w:t>
      </w:r>
      <w:r>
        <w:rPr>
          <w:rFonts w:ascii="Times New Roman" w:cs="Times New Roman" w:eastAsia="Times New Roman" w:hAnsi="Times New Roman"/>
          <w:sz w:val="22"/>
          <w:szCs w:val="22"/>
        </w:rPr>
        <w:t xml:space="preserve">R36,588.81</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Retrospective Recovery Reductions:  </w:t>
      </w:r>
      <w:r>
        <w:rPr>
          <w:rFonts w:ascii="Times New Roman" w:cs="Times New Roman" w:eastAsia="Times New Roman" w:hAnsi="Times New Roman"/>
          <w:sz w:val="22"/>
          <w:szCs w:val="22"/>
        </w:rPr>
        <w:t xml:space="preserve">R14,811.77</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Effective Remuneration Reduction Percentage:  </w:t>
      </w:r>
      <w:r>
        <w:rPr>
          <w:rFonts w:ascii="Times New Roman" w:cs="Times New Roman" w:eastAsia="Times New Roman" w:hAnsi="Times New Roman"/>
          <w:b/>
          <w:bCs/>
          <w:sz w:val="22"/>
          <w:szCs w:val="22"/>
        </w:rPr>
        <w:t xml:space="preserve">40.47%  </w:t>
      </w:r>
      <w:r>
        <w:rPr>
          <w:rFonts w:ascii="Times New Roman" w:cs="Times New Roman" w:eastAsia="Times New Roman" w:hAnsi="Times New Roman"/>
          <w:sz w:val="22"/>
          <w:szCs w:val="22"/>
        </w:rPr>
        <w:t xml:space="preserve">(BCEA ceiling: 25%)</w:t>
      </w:r>
    </w:p>
    <w:p>
      <w:pPr>
        <w:spacing w:after="0" w:before="0"/>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sz w:val="22"/>
          <w:szCs w:val="22"/>
        </w:rPr>
        <w:t xml:space="preserve">4.13  </w:t>
      </w:r>
      <w:r>
        <w:rPr>
          <w:rFonts w:ascii="Times New Roman" w:cs="Times New Roman" w:eastAsia="Times New Roman" w:hAnsi="Times New Roman"/>
          <w:sz w:val="22"/>
          <w:szCs w:val="22"/>
        </w:rPr>
        <w:t xml:space="preserve">The Defendants have not disputed the authenticity of the payslip, produced any signed written consent, or identified any legal basis for a deduction exceeding the Section 34(2) ceiling. Their defence — that this was a </w:t>
      </w:r>
      <w:r>
        <w:rPr>
          <w:rFonts w:ascii="Times New Roman" w:cs="Times New Roman" w:eastAsia="Times New Roman" w:hAnsi="Times New Roman"/>
          <w:i/>
          <w:iCs/>
          <w:sz w:val="22"/>
          <w:szCs w:val="22"/>
        </w:rPr>
        <w:t xml:space="preserve">"no work, no pay alignment"</w:t>
      </w:r>
      <w:r>
        <w:rPr>
          <w:rFonts w:ascii="Times New Roman" w:cs="Times New Roman" w:eastAsia="Times New Roman" w:hAnsi="Times New Roman"/>
          <w:sz w:val="22"/>
          <w:szCs w:val="22"/>
        </w:rPr>
        <w:t xml:space="preserve"> — is mathematically refuted by the Plaintiff's July 2025 attendance record and legally refuted by the statute. On the face of the papers, liability is established.</w:t>
      </w:r>
    </w:p>
    <w:p>
      <w:pPr>
        <w:spacing w:after="140" w:before="0"/>
        <w:jc w:val="both"/>
      </w:pPr>
      <w:r>
        <w:rPr>
          <w:rFonts w:ascii="Times New Roman" w:cs="Times New Roman" w:eastAsia="Times New Roman" w:hAnsi="Times New Roman"/>
          <w:b/>
          <w:bCs/>
          <w:sz w:val="22"/>
          <w:szCs w:val="22"/>
        </w:rPr>
        <w:t xml:space="preserve">4.14  </w:t>
      </w:r>
      <w:r>
        <w:rPr>
          <w:rFonts w:ascii="Times New Roman" w:cs="Times New Roman" w:eastAsia="Times New Roman" w:hAnsi="Times New Roman"/>
          <w:sz w:val="22"/>
          <w:szCs w:val="22"/>
        </w:rPr>
        <w:t xml:space="preserve">This Honourable Court possesses no equitable or judicial discretion to condone an express violation of Section 34(2) of the BCEA, nor to validate a defence built on a demonstrable factual misrepresentation. A deduction of 40.47% is illegal on its face. The recovery constitutes an unlawful expropriation of remuneration as a matter of law.</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5.  THE REJECTION OF THE RETALIATORY "INSUBORDINATION" REPRIMAND</w:t>
      </w:r>
    </w:p>
    <w:p>
      <w:pPr>
        <w:spacing w:after="140" w:before="0"/>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 26</w:t>
      </w:r>
      <w:r>
        <w:rPr>
          <w:rFonts w:ascii="Times New Roman" w:cs="Times New Roman" w:eastAsia="Times New Roman" w:hAnsi="Times New Roman"/>
          <w:sz w:val="22"/>
          <w:szCs w:val="22"/>
        </w:rPr>
        <w:t xml:space="preserve"> of the Response, the Defendants introduce a disciplinary narrative, asserting that the Plaintiff was </w:t>
      </w:r>
      <w:r>
        <w:rPr>
          <w:rFonts w:ascii="Times New Roman" w:cs="Times New Roman" w:eastAsia="Times New Roman" w:hAnsi="Times New Roman"/>
          <w:i/>
          <w:iCs/>
          <w:sz w:val="22"/>
          <w:szCs w:val="22"/>
        </w:rPr>
        <w:t xml:space="preserve">"reprimanded for insubordination"</w:t>
      </w:r>
      <w:r>
        <w:rPr>
          <w:rFonts w:ascii="Times New Roman" w:cs="Times New Roman" w:eastAsia="Times New Roman" w:hAnsi="Times New Roman"/>
          <w:sz w:val="22"/>
          <w:szCs w:val="22"/>
        </w:rPr>
        <w:t xml:space="preserve"> because he refused an instruction to directly engage with a client following an internal investigation.</w:t>
      </w:r>
    </w:p>
    <w:p>
      <w:pPr>
        <w:spacing w:after="140" w:before="0"/>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The Plaintiff denies that this reprimand constituted a lawful or reasonable operational action. The documented record establishes that this disciplinary charge was raised against the Plaintiff </w:t>
      </w:r>
      <w:r>
        <w:rPr>
          <w:rFonts w:ascii="Times New Roman" w:cs="Times New Roman" w:eastAsia="Times New Roman" w:hAnsi="Times New Roman"/>
          <w:i/>
          <w:iCs/>
          <w:sz w:val="22"/>
          <w:szCs w:val="22"/>
        </w:rPr>
        <w:t xml:space="preserve">only after</w:t>
      </w:r>
      <w:r>
        <w:rPr>
          <w:rFonts w:ascii="Times New Roman" w:cs="Times New Roman" w:eastAsia="Times New Roman" w:hAnsi="Times New Roman"/>
          <w:sz w:val="22"/>
          <w:szCs w:val="22"/>
        </w:rPr>
        <w:t xml:space="preserve"> he escalated Protected Disclosures regarding systemic clinical integration defects within the Gexus-DMS architecture — defects that directly caused erroneous non-adherence letters to be issued to vulnerable medical scheme beneficiaries. The temporal proximity between the protected disclosure and the disciplinary charge is direct evidence of retaliatory intent.</w:t>
      </w:r>
    </w:p>
    <w:p>
      <w:pPr>
        <w:spacing w:after="140" w:before="0"/>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The instruction given to the Plaintiff was an unlawful and unethical direction to interface with an affected client for the purpose of managing and obscuring un-remedied system errors. South African employment law does not require an employee to comply with an instruction that is unlawful or unethical. Refusal of such an instruction does not constitute actionable insubordination. See: </w:t>
      </w:r>
      <w:r>
        <w:rPr>
          <w:rFonts w:ascii="Times New Roman" w:cs="Times New Roman" w:eastAsia="Times New Roman" w:hAnsi="Times New Roman"/>
          <w:i/>
          <w:iCs/>
          <w:sz w:val="22"/>
          <w:szCs w:val="22"/>
        </w:rPr>
        <w:t xml:space="preserve">Muller v Chairman, Ministers' Council, House of Representatives 1990 (2) SA 478 (C)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Sappi Fine Paper (Pty) Ltd v PPWAWU (1990) 11 ILJ 1190 (IC)</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The reprimand constitutes a textbook act of occupational detriment inflicted in direct retaliation for the Plaintiff's protected disclosures, in direct violation of Section 3 read with Section 1 of the Protected Disclosures Act 26 of 2000 (</w:t>
      </w:r>
      <w:r>
        <w:rPr>
          <w:rFonts w:ascii="Times New Roman" w:cs="Times New Roman" w:eastAsia="Times New Roman" w:hAnsi="Times New Roman"/>
          <w:b/>
          <w:bCs/>
          <w:sz w:val="22"/>
          <w:szCs w:val="22"/>
        </w:rPr>
        <w:t xml:space="preserve">"PDA"</w:t>
      </w:r>
      <w:r>
        <w:rPr>
          <w:rFonts w:ascii="Times New Roman" w:cs="Times New Roman" w:eastAsia="Times New Roman" w:hAnsi="Times New Roman"/>
          <w:sz w:val="22"/>
          <w:szCs w:val="22"/>
        </w:rPr>
        <w:t xml:space="preserve">). The connection between protected disclosure and disciplinary detriment is the defining characteristic of the retaliatory employer conduct the PDA is designed to sanction. See: </w:t>
      </w:r>
      <w:r>
        <w:rPr>
          <w:rFonts w:ascii="Times New Roman" w:cs="Times New Roman" w:eastAsia="Times New Roman" w:hAnsi="Times New Roman"/>
          <w:i/>
          <w:iCs/>
          <w:sz w:val="22"/>
          <w:szCs w:val="22"/>
        </w:rPr>
        <w:t xml:space="preserve">Tshishonga v Minister of Justice and Constitutional Development 2007 (4) SA 135 (LC)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Grieve v Denel SOC Ltd (2017) 38 ILJ 1643 (LC)</w:t>
      </w:r>
      <w:r>
        <w:rPr>
          <w:rFonts w:ascii="Times New Roman" w:cs="Times New Roman" w:eastAsia="Times New Roman" w:hAnsi="Times New Roman"/>
          <w:sz w:val="22"/>
          <w:szCs w:val="22"/>
        </w:rPr>
        <w:t xml:space="preserve">.</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6.  THE UNTENABILITY OF THE CONSTRUCTIVE DISMISSAL DENIAL</w:t>
      </w:r>
    </w:p>
    <w:p>
      <w:pPr>
        <w:spacing w:after="140" w:before="0"/>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Paragraphs 29 and 33</w:t>
      </w:r>
      <w:r>
        <w:rPr>
          <w:rFonts w:ascii="Times New Roman" w:cs="Times New Roman" w:eastAsia="Times New Roman" w:hAnsi="Times New Roman"/>
          <w:sz w:val="22"/>
          <w:szCs w:val="22"/>
        </w:rPr>
        <w:t xml:space="preserve"> of the Response, the Defendants deny creating an intolerable work environment and assert that the Plaintiff resigned prematurely while internal grievance processes were still unfolding.</w:t>
      </w:r>
    </w:p>
    <w:p>
      <w:pPr>
        <w:spacing w:after="140" w:before="0"/>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The Plaintiff rejects this assertion. The test for constructive dismissal under Section 186(1)(e) of the Labour Relations Act 66 of 1995 (</w:t>
      </w:r>
      <w:r>
        <w:rPr>
          <w:rFonts w:ascii="Times New Roman" w:cs="Times New Roman" w:eastAsia="Times New Roman" w:hAnsi="Times New Roman"/>
          <w:b/>
          <w:bCs/>
          <w:sz w:val="22"/>
          <w:szCs w:val="22"/>
        </w:rPr>
        <w:t xml:space="preserve">"LRA"</w:t>
      </w:r>
      <w:r>
        <w:rPr>
          <w:rFonts w:ascii="Times New Roman" w:cs="Times New Roman" w:eastAsia="Times New Roman" w:hAnsi="Times New Roman"/>
          <w:sz w:val="22"/>
          <w:szCs w:val="22"/>
        </w:rPr>
        <w:t xml:space="preserve">) is objective: the Court must assess whether the employer's conduct made continued employment intolerable to a reasonable person in the Plaintiff's position. See: </w:t>
      </w:r>
      <w:r>
        <w:rPr>
          <w:rFonts w:ascii="Times New Roman" w:cs="Times New Roman" w:eastAsia="Times New Roman" w:hAnsi="Times New Roman"/>
          <w:i/>
          <w:iCs/>
          <w:sz w:val="22"/>
          <w:szCs w:val="22"/>
        </w:rPr>
        <w:t xml:space="preserve">Murray v Minister of Defence 2009 (3) SA 130 (SCA)</w:t>
      </w:r>
      <w:r>
        <w:rPr>
          <w:rFonts w:ascii="Times New Roman" w:cs="Times New Roman" w:eastAsia="Times New Roman" w:hAnsi="Times New Roman"/>
          <w:sz w:val="22"/>
          <w:szCs w:val="22"/>
        </w:rPr>
        <w:t xml:space="preserve"> at para 12; </w:t>
      </w:r>
      <w:r>
        <w:rPr>
          <w:rFonts w:ascii="Times New Roman" w:cs="Times New Roman" w:eastAsia="Times New Roman" w:hAnsi="Times New Roman"/>
          <w:i/>
          <w:iCs/>
          <w:sz w:val="22"/>
          <w:szCs w:val="22"/>
        </w:rPr>
        <w:t xml:space="preserve">Solid Doors (Pty) Ltd v Theron (2004) 25 ILJ 2337 (LAC)</w:t>
      </w:r>
      <w:r>
        <w:rPr>
          <w:rFonts w:ascii="Times New Roman" w:cs="Times New Roman" w:eastAsia="Times New Roman" w:hAnsi="Times New Roman"/>
          <w:sz w:val="22"/>
          <w:szCs w:val="22"/>
        </w:rPr>
        <w:t xml:space="preserve">. A subjective assessment of the employer's intention is irrelevant to this enquiry.</w:t>
      </w:r>
    </w:p>
    <w:p>
      <w:pPr>
        <w:spacing w:after="140" w:before="0"/>
        <w:jc w:val="both"/>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Furthermore, an employee is not required to exhaust internal grievance processes before resigning where those processes have been demonstrably ineffective, deliberately delayed, or where the employer's conduct has rendered the relationship immediately intolerable. See: </w:t>
      </w:r>
      <w:r>
        <w:rPr>
          <w:rFonts w:ascii="Times New Roman" w:cs="Times New Roman" w:eastAsia="Times New Roman" w:hAnsi="Times New Roman"/>
          <w:i/>
          <w:iCs/>
          <w:sz w:val="22"/>
          <w:szCs w:val="22"/>
        </w:rPr>
        <w:t xml:space="preserve">Pretoria Society of Advocates v Nthai (2008) 29 ILJ 1873 (LC)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Boxer Superstores Mthatha v Mbenya (2007) 28 ILJ 2209 (LAC)</w:t>
      </w:r>
      <w:r>
        <w:rPr>
          <w:rFonts w:ascii="Times New Roman" w:cs="Times New Roman" w:eastAsia="Times New Roman" w:hAnsi="Times New Roman"/>
          <w:sz w:val="22"/>
          <w:szCs w:val="22"/>
        </w:rPr>
        <w:t xml:space="preserve">. A self-represented employee suffering financial deprivation and medical vulnerability is not required to remain in an intolerable environment indefinitely while the employer exploits administrative inertia.</w:t>
      </w:r>
    </w:p>
    <w:p>
      <w:pPr>
        <w:spacing w:after="140" w:before="0"/>
        <w:jc w:val="both"/>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Assessed objectively, the cumulative conduct of the Defendants rendered the Plaintiff's continued employment intolerable:</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illegal 40.47% remuneration reduction — executed immediately upon the Plaintiff's return from psychiatric hospitalisation — that stripped 40.47% of his gross monthly income in a single pay cycle, directly violating Section 34(2) of the BCEA;</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deliberate misrepresentation of internal policy used to deny the Plaintiff staggered recovery protections to which he was entitled;</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complete absence of any management response to the Plaintiff's formal grievance escalations for more than 30 consecutive days;</w:t>
      </w:r>
    </w:p>
    <w:p>
      <w:pPr>
        <w:spacing w:after="100" w:before="0"/>
        <w:ind w:left="80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filing of sworn documentation by the Defendants' Employee Relations department characterising the Plaintiff's formally diagnosed PTSD and major depressive disorder as a </w:t>
      </w:r>
    </w:p>
    <w:p>
      <w:pPr>
        <w:spacing w:after="140" w:before="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"subjective interpretation"</w:t>
      </w:r>
      <w:r>
        <w:rPr>
          <w:rFonts w:ascii="Times New Roman" w:cs="Times New Roman" w:eastAsia="Times New Roman" w:hAnsi="Times New Roman"/>
          <w:sz w:val="22"/>
          <w:szCs w:val="22"/>
        </w:rPr>
        <w:t xml:space="preserve"> — a characterisation that is both factually incorrect and constitutes discrimination on the grounds of disability in contravention of Section 6 of the Employment Equity Act 55 of 1998.</w:t>
      </w:r>
    </w:p>
    <w:p>
      <w:pPr>
        <w:spacing w:after="140" w:before="0"/>
        <w:jc w:val="both"/>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Expecting a formally diagnosed mentally ill employee — returning from inpatient psychiatric care — to remain embedded in an environment characterised by severe financial deprivation, deliberate policy misrepresentation, and the dismissal of his clinical condition is objectively unconscionable. The cumulative effect of the Defendants' conduct satisfies the statutory test for constructive dismissal under Section 186(1)(e) of the LRA. See: </w:t>
      </w:r>
      <w:r>
        <w:rPr>
          <w:rFonts w:ascii="Times New Roman" w:cs="Times New Roman" w:eastAsia="Times New Roman" w:hAnsi="Times New Roman"/>
          <w:i/>
          <w:iCs/>
          <w:sz w:val="22"/>
          <w:szCs w:val="22"/>
        </w:rPr>
        <w:t xml:space="preserve">SA Post Office v Mampeule (2010) 31 ILJ 2051 (LAC)</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Edcon Ltd v Pillemer NO (2010) 31 ILJ 178 (SCA)</w:t>
      </w:r>
      <w:r>
        <w:rPr>
          <w:rFonts w:ascii="Times New Roman" w:cs="Times New Roman" w:eastAsia="Times New Roman" w:hAnsi="Times New Roman"/>
          <w:sz w:val="22"/>
          <w:szCs w:val="22"/>
        </w:rPr>
        <w:t xml:space="preserve">.</w:t>
      </w:r>
    </w:p>
    <w:p>
      <w:pPr>
        <w:spacing w:after="140" w:before="0"/>
        <w:jc w:val="both"/>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Moreover, the constructive dismissal was executed as a direct consequence of the Plaintiff's protected disclosures regarding the Gexus-DMS clinical integration failures. The retaliatory sequence — protected disclosure, disciplinary reprimand, financial deduction, executive silence, intolerable environment — constitutes an </w:t>
      </w:r>
      <w:r>
        <w:rPr>
          <w:rFonts w:ascii="Times New Roman" w:cs="Times New Roman" w:eastAsia="Times New Roman" w:hAnsi="Times New Roman"/>
          <w:b/>
          <w:bCs/>
          <w:sz w:val="22"/>
          <w:szCs w:val="22"/>
        </w:rPr>
        <w:t xml:space="preserve">automatically unfair dismissal</w:t>
      </w:r>
      <w:r>
        <w:rPr>
          <w:rFonts w:ascii="Times New Roman" w:cs="Times New Roman" w:eastAsia="Times New Roman" w:hAnsi="Times New Roman"/>
          <w:sz w:val="22"/>
          <w:szCs w:val="22"/>
        </w:rPr>
        <w:t xml:space="preserve"> in terms of Section 187(1)(h) of the LRA, for which the Plaintiff is entitled to compensation not exceeding 24 months' remuneration under Section 194(3) of the LRA. See: </w:t>
      </w:r>
      <w:r>
        <w:rPr>
          <w:rFonts w:ascii="Times New Roman" w:cs="Times New Roman" w:eastAsia="Times New Roman" w:hAnsi="Times New Roman"/>
          <w:i/>
          <w:iCs/>
          <w:sz w:val="22"/>
          <w:szCs w:val="22"/>
        </w:rPr>
        <w:t xml:space="preserve">Kroukam v SA Airlink (Pty) Ltd (2005) 26 ILJ 2153 (LAC)</w:t>
      </w:r>
      <w:r>
        <w:rPr>
          <w:rFonts w:ascii="Times New Roman" w:cs="Times New Roman" w:eastAsia="Times New Roman" w:hAnsi="Times New Roman"/>
          <w:sz w:val="22"/>
          <w:szCs w:val="22"/>
        </w:rPr>
        <w:t xml:space="preserve"> — the foundational authority on automatically unfair dismissal for protected disclosure retaliation.</w:t>
      </w:r>
    </w:p>
    <w:p>
      <w:pPr>
        <w:spacing w:after="0" w:before="0"/>
      </w:pPr>
      <w:r>
        <w:rPr>
          <w:rFonts w:ascii="Times New Roman" w:cs="Times New Roman" w:eastAsia="Times New Roman" w:hAnsi="Times New Roman"/>
          <w:sz w:val="22"/>
          <w:szCs w:val="22"/>
        </w:rPr>
        <w:t xml:space="preserve"/>
      </w:r>
    </w:p>
    <w:p>
      <w:pPr>
        <w:spacing w:after="140" w:before="320"/>
        <w:jc w:val="left"/>
      </w:pPr>
      <w:r>
        <w:rPr>
          <w:rFonts w:ascii="Times New Roman" w:cs="Times New Roman" w:eastAsia="Times New Roman" w:hAnsi="Times New Roman"/>
          <w:b/>
          <w:bCs/>
          <w:sz w:val="24"/>
          <w:szCs w:val="24"/>
          <w:u w:val="single"/>
        </w:rPr>
        <w:t xml:space="preserve">7.  CONCLUSION AND PRAYER FOR RELIEF</w:t>
      </w:r>
    </w:p>
    <w:p>
      <w:pPr>
        <w:spacing w:after="140" w:before="0"/>
        <w:jc w:val="both"/>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The Defendants' Response is procedurally dead on arrival: it is signed on behalf of a non-cited juristic entity and is entirely unverified by affidavit. It places no admissible evidence before this Court.</w:t>
      </w:r>
    </w:p>
    <w:p>
      <w:pPr>
        <w:spacing w:after="140" w:before="0"/>
        <w:jc w:val="both"/>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Substantively, the Response collapses into a direct admission of an illegal 40.47% remuneration reduction under Section 34(2) of the BCEA, supported by a demonstrable factual misrepresentation regarding the Plaintiff's July 2025 attendance, and by the deliberate misrepresentation of the Defendants' own HCBP Policy.</w:t>
      </w:r>
    </w:p>
    <w:p>
      <w:pPr>
        <w:spacing w:after="140" w:before="0"/>
        <w:jc w:val="both"/>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There is no valid, sworn, triable defence before this Honourable Court. The Defendants have presented no evidence, no lawful justification, and no credible denial of the violations set out above. The Plaintiff accordingly persists in all relief claimed in his Statement of Claim.</w:t>
      </w:r>
    </w:p>
    <w:p>
      <w:pPr>
        <w:spacing w:after="0" w:before="0"/>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sz w:val="22"/>
          <w:szCs w:val="22"/>
        </w:rPr>
        <w:t xml:space="preserve">WHEREFORE</w:t>
      </w:r>
      <w:r>
        <w:rPr>
          <w:rFonts w:ascii="Times New Roman" w:cs="Times New Roman" w:eastAsia="Times New Roman" w:hAnsi="Times New Roman"/>
          <w:sz w:val="22"/>
          <w:szCs w:val="22"/>
        </w:rPr>
        <w:t xml:space="preserve"> the Plaintiff prays for an order in the following terms:</w:t>
      </w:r>
    </w:p>
    <w:p>
      <w:pPr>
        <w:spacing w:after="0" w:before="0"/>
      </w:pPr>
      <w:r>
        <w:rPr>
          <w:rFonts w:ascii="Times New Roman" w:cs="Times New Roman" w:eastAsia="Times New Roman" w:hAnsi="Times New Roman"/>
          <w:sz w:val="22"/>
          <w:szCs w:val="22"/>
        </w:rPr>
        <w:t xml:space="preserve"/>
      </w:r>
    </w:p>
    <w:p>
      <w:pPr>
        <w:spacing w:after="80" w:before="180"/>
        <w:jc w:val="left"/>
      </w:pPr>
      <w:r>
        <w:rPr>
          <w:rFonts w:ascii="Times New Roman" w:cs="Times New Roman" w:eastAsia="Times New Roman" w:hAnsi="Times New Roman"/>
          <w:b/>
          <w:bCs/>
          <w:sz w:val="22"/>
          <w:szCs w:val="22"/>
        </w:rPr>
        <w:t xml:space="preserve">IN RESPECT OF THE THRESHOLD PROCEDURAL APPLICATION:</w:t>
      </w:r>
    </w:p>
    <w:p>
      <w:pPr>
        <w:spacing w:after="0" w:before="0"/>
      </w:pPr>
      <w:r>
        <w:rPr>
          <w:rFonts w:ascii="Times New Roman" w:cs="Times New Roman" w:eastAsia="Times New Roman" w:hAnsi="Times New Roman"/>
          <w:sz w:val="22"/>
          <w:szCs w:val="22"/>
        </w:rPr>
        <w:t xml:space="preserve"/>
      </w:r>
    </w:p>
    <w:p>
      <w:pPr>
        <w:spacing w:after="140" w:before="0"/>
        <w:ind w:left="800" w:hanging="50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Striking out the Defendants' Statement of Response dated 19 May 2026 as a procedural nullity, on the grounds that it is unverified by affidavit and purports to have been filed on behalf of a non-cited juristic entity, namely AfroCentric RF (Pty) Ltd.</w:t>
      </w:r>
    </w:p>
    <w:p>
      <w:pPr>
        <w:spacing w:after="0" w:before="0"/>
      </w:pPr>
      <w:r>
        <w:rPr>
          <w:rFonts w:ascii="Times New Roman" w:cs="Times New Roman" w:eastAsia="Times New Roman" w:hAnsi="Times New Roman"/>
          <w:sz w:val="22"/>
          <w:szCs w:val="22"/>
        </w:rPr>
        <w:t xml:space="preserve"/>
      </w:r>
    </w:p>
    <w:p>
      <w:pPr>
        <w:spacing w:after="80" w:before="180"/>
        <w:jc w:val="left"/>
      </w:pPr>
      <w:r>
        <w:rPr>
          <w:rFonts w:ascii="Times New Roman" w:cs="Times New Roman" w:eastAsia="Times New Roman" w:hAnsi="Times New Roman"/>
          <w:b/>
          <w:bCs/>
          <w:sz w:val="22"/>
          <w:szCs w:val="22"/>
        </w:rPr>
        <w:t xml:space="preserve">IN RESPECT OF THE CONCURRENT APPLICATION (CASE NO: 2026-077546):</w:t>
      </w:r>
    </w:p>
    <w:p>
      <w:pPr>
        <w:spacing w:after="0" w:before="0"/>
      </w:pPr>
      <w:r>
        <w:rPr>
          <w:rFonts w:ascii="Times New Roman" w:cs="Times New Roman" w:eastAsia="Times New Roman" w:hAnsi="Times New Roman"/>
          <w:sz w:val="22"/>
          <w:szCs w:val="22"/>
        </w:rPr>
        <w:t xml:space="preserve"/>
      </w:r>
    </w:p>
    <w:p>
      <w:pPr>
        <w:spacing w:after="140" w:before="0"/>
        <w:ind w:left="800" w:hanging="50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An order declaring that the deduction of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from the Plaintiff's remuneration on 23 July 2025 was unilateral, unlawful, and in direct contravention of Section 34(1) and Section 34(2) of the Basic Conditions of Employment Act 75 of 1997;</w:t>
      </w:r>
    </w:p>
    <w:p>
      <w:pPr>
        <w:spacing w:after="140" w:before="0"/>
        <w:ind w:left="800" w:hanging="50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An order compelling the First and Second Defendants, jointly and severally, the one paying the other to be absolved, to make immediate repayment to the Plaintiff of the sum of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w:t>
      </w:r>
    </w:p>
    <w:p>
      <w:pPr>
        <w:spacing w:after="140" w:before="0"/>
        <w:ind w:left="800" w:hanging="50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An order directing the Defendants to pay interest on the amount of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at the prescribed legal rate per annum, calculated from 23 July 2025 to the date of final payment;</w:t>
      </w:r>
    </w:p>
    <w:p>
      <w:pPr>
        <w:spacing w:after="0" w:before="0"/>
      </w:pPr>
      <w:r>
        <w:rPr>
          <w:rFonts w:ascii="Times New Roman" w:cs="Times New Roman" w:eastAsia="Times New Roman" w:hAnsi="Times New Roman"/>
          <w:sz w:val="22"/>
          <w:szCs w:val="22"/>
        </w:rPr>
        <w:t xml:space="preserve"/>
      </w:r>
    </w:p>
    <w:p>
      <w:pPr>
        <w:spacing w:after="80" w:before="180"/>
        <w:jc w:val="left"/>
      </w:pPr>
      <w:r>
        <w:rPr>
          <w:rFonts w:ascii="Times New Roman" w:cs="Times New Roman" w:eastAsia="Times New Roman" w:hAnsi="Times New Roman"/>
          <w:b/>
          <w:bCs/>
          <w:sz w:val="22"/>
          <w:szCs w:val="22"/>
        </w:rPr>
        <w:t xml:space="preserve">IN RESPECT OF THE MAIN STATEMENT OF CLAIM (CASE NO: 2026-083299):</w:t>
      </w:r>
    </w:p>
    <w:p>
      <w:pPr>
        <w:spacing w:after="0" w:before="0"/>
      </w:pPr>
      <w:r>
        <w:rPr>
          <w:rFonts w:ascii="Times New Roman" w:cs="Times New Roman" w:eastAsia="Times New Roman" w:hAnsi="Times New Roman"/>
          <w:sz w:val="22"/>
          <w:szCs w:val="22"/>
        </w:rPr>
        <w:t xml:space="preserve"/>
      </w:r>
    </w:p>
    <w:p>
      <w:pPr>
        <w:spacing w:after="140" w:before="0"/>
        <w:ind w:left="800" w:hanging="50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An order declaring that the resignation of the Plaintiff on [date] constitutes a Constructive Dismissal in terms of Section 186(1)(e) of the Labour Relations Act 66 of 1995, rendered inevitable by the continuous operational, financial, and psychological misconduct of the Defendants;</w:t>
      </w:r>
    </w:p>
    <w:p>
      <w:pPr>
        <w:spacing w:after="140" w:before="0"/>
        <w:ind w:left="800" w:hanging="50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An order declaring that, flowing from and as a consequence of the constructive dismissal declared in Order 5 above, the Plaintiff's dismissal constitutes an </w:t>
      </w:r>
      <w:r>
        <w:rPr>
          <w:rFonts w:ascii="Times New Roman" w:cs="Times New Roman" w:eastAsia="Times New Roman" w:hAnsi="Times New Roman"/>
          <w:b/>
          <w:bCs/>
          <w:sz w:val="22"/>
          <w:szCs w:val="22"/>
        </w:rPr>
        <w:t xml:space="preserve">Automatically Unfair Dismissal</w:t>
      </w:r>
      <w:r>
        <w:rPr>
          <w:rFonts w:ascii="Times New Roman" w:cs="Times New Roman" w:eastAsia="Times New Roman" w:hAnsi="Times New Roman"/>
          <w:sz w:val="22"/>
          <w:szCs w:val="22"/>
        </w:rPr>
        <w:t xml:space="preserve"> in terms of Section 187(1)(h) of the Labour Relations Act 66 of 1995, it having been executed as a targeted act of occupational detriment in direct retaliation for protected disclosures made in terms of the Protected Disclosures Act 26 of 2000;</w:t>
      </w:r>
    </w:p>
    <w:p>
      <w:pPr>
        <w:spacing w:after="140" w:before="0"/>
        <w:ind w:left="800" w:hanging="50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An order compelling the First and Second Defendants, jointly and severally, to pay the Plaintiff compensation equivalent to </w:t>
      </w:r>
      <w:r>
        <w:rPr>
          <w:rFonts w:ascii="Times New Roman" w:cs="Times New Roman" w:eastAsia="Times New Roman" w:hAnsi="Times New Roman"/>
          <w:b/>
          <w:bCs/>
          <w:sz w:val="22"/>
          <w:szCs w:val="22"/>
        </w:rPr>
        <w:t xml:space="preserve">24 (twenty-four) months' remuneration</w:t>
      </w:r>
      <w:r>
        <w:rPr>
          <w:rFonts w:ascii="Times New Roman" w:cs="Times New Roman" w:eastAsia="Times New Roman" w:hAnsi="Times New Roman"/>
          <w:sz w:val="22"/>
          <w:szCs w:val="22"/>
        </w:rPr>
        <w:t xml:space="preserve">, calculated at the Plaintiff's full gross contractual rate of R36,588.81 per month, as provided for under Section 194(3) of the Labour Relations Act 66 of 1995, amounting to </w:t>
      </w:r>
      <w:r>
        <w:rPr>
          <w:rFonts w:ascii="Times New Roman" w:cs="Times New Roman" w:eastAsia="Times New Roman" w:hAnsi="Times New Roman"/>
          <w:b/>
          <w:bCs/>
          <w:sz w:val="22"/>
          <w:szCs w:val="22"/>
        </w:rPr>
        <w:t xml:space="preserve">R878,131.44</w:t>
      </w:r>
      <w:r>
        <w:rPr>
          <w:rFonts w:ascii="Times New Roman" w:cs="Times New Roman" w:eastAsia="Times New Roman" w:hAnsi="Times New Roman"/>
          <w:sz w:val="22"/>
          <w:szCs w:val="22"/>
        </w:rPr>
        <w:t xml:space="preserve">;</w:t>
      </w:r>
    </w:p>
    <w:p>
      <w:pPr>
        <w:spacing w:after="140" w:before="0"/>
        <w:ind w:left="800" w:hanging="50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An order directing the Defendants to furnish the Plaintiff with a corrected and legally compliant Certificate of Service reflecting the true nature of the termination; and</w:t>
      </w:r>
    </w:p>
    <w:p>
      <w:pPr>
        <w:spacing w:after="140" w:before="0"/>
        <w:ind w:left="800" w:hanging="50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An order granting costs against the Defendants on a punitive attorney-and-client scale, by reason of their cross-jurisdictional deception, material false statement under oath, deliberate misrepresentation of internal policy, bad-faith pleading omissions, and systemic procedural misconduct throughout these proceedings.</w:t>
      </w:r>
    </w:p>
    <w:p>
      <w:pPr>
        <w:spacing w:after="0" w:before="0"/>
      </w:pPr>
      <w:r>
        <w:rPr>
          <w:rFonts w:ascii="Times New Roman" w:cs="Times New Roman" w:eastAsia="Times New Roman" w:hAnsi="Times New Roman"/>
          <w:sz w:val="22"/>
          <w:szCs w:val="22"/>
        </w:rPr>
        <w:t xml:space="preserve"/>
      </w:r>
    </w:p>
    <w:p>
      <w:pPr>
        <w:pBdr>
          <w:bottom w:val="single" w:color="000000" w:sz="6" w:space="1"/>
        </w:pBdr>
        <w:spacing w:after="140" w:before="14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80" w:before="80"/>
        <w:jc w:val="center"/>
      </w:pPr>
      <w:r>
        <w:rPr>
          <w:rFonts w:ascii="Times New Roman" w:cs="Times New Roman" w:eastAsia="Times New Roman" w:hAnsi="Times New Roman"/>
          <w:b/>
          <w:bCs/>
          <w:sz w:val="22"/>
          <w:szCs w:val="22"/>
        </w:rPr>
        <w:t xml:space="preserve">DATED AT CAPE TOWN ON THIS THE 19TH DAY OF MAY 2026</w:t>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60" w:before="0"/>
        <w:jc w:val="left"/>
      </w:pPr>
      <w:r>
        <w:rPr>
          <w:rFonts w:ascii="Times New Roman" w:cs="Times New Roman" w:eastAsia="Times New Roman" w:hAnsi="Times New Roman"/>
          <w:sz w:val="22"/>
          <w:szCs w:val="22"/>
        </w:rPr>
        <w:t xml:space="preserve">_______________________________</w:t>
      </w:r>
    </w:p>
    <w:p>
      <w:pPr>
        <w:spacing w:after="140" w:before="0"/>
        <w:jc w:val="both"/>
      </w:pPr>
      <w:r>
        <w:rPr>
          <w:rFonts w:ascii="Times New Roman" w:cs="Times New Roman" w:eastAsia="Times New Roman" w:hAnsi="Times New Roman"/>
          <w:b/>
          <w:bCs/>
          <w:sz w:val="22"/>
          <w:szCs w:val="22"/>
        </w:rPr>
        <w:t xml:space="preserve">SR. WILBUR WILLIAM MATTHEE</w:t>
      </w:r>
    </w:p>
    <w:p>
      <w:pPr>
        <w:spacing w:after="140" w:before="0"/>
        <w:jc w:val="both"/>
      </w:pPr>
      <w:r>
        <w:rPr>
          <w:rFonts w:ascii="Times New Roman" w:cs="Times New Roman" w:eastAsia="Times New Roman" w:hAnsi="Times New Roman"/>
          <w:i/>
          <w:iCs/>
          <w:sz w:val="22"/>
          <w:szCs w:val="22"/>
        </w:rPr>
        <w:t xml:space="preserve">Plaintiff / Applicant in Person</w:t>
      </w:r>
    </w:p>
    <w:p>
      <w:pPr>
        <w:spacing w:after="140" w:before="0"/>
        <w:jc w:val="both"/>
      </w:pPr>
      <w:r>
        <w:rPr>
          <w:rFonts w:ascii="Times New Roman" w:cs="Times New Roman" w:eastAsia="Times New Roman" w:hAnsi="Times New Roman"/>
          <w:sz w:val="22"/>
          <w:szCs w:val="22"/>
        </w:rPr>
        <w:t xml:space="preserve">15 Bellevue Street, Voorbrug, Cape Town, 7001</w:t>
      </w:r>
    </w:p>
    <w:p>
      <w:pPr>
        <w:spacing w:after="140" w:before="0"/>
        <w:jc w:val="both"/>
      </w:pPr>
      <w:r>
        <w:rPr>
          <w:rFonts w:ascii="Times New Roman" w:cs="Times New Roman" w:eastAsia="Times New Roman" w:hAnsi="Times New Roman"/>
          <w:sz w:val="22"/>
          <w:szCs w:val="22"/>
        </w:rPr>
        <w:t xml:space="preserve">Email: info@ethichawks.co.za</w:t>
      </w:r>
    </w:p>
    <w:p>
      <w:pPr>
        <w:spacing w:after="0" w:before="0"/>
      </w:pPr>
      <w:r>
        <w:rPr>
          <w:rFonts w:ascii="Times New Roman" w:cs="Times New Roman" w:eastAsia="Times New Roman" w:hAnsi="Times New Roman"/>
          <w:sz w:val="22"/>
          <w:szCs w:val="22"/>
        </w:rPr>
        <w:t xml:space="preserve"/>
      </w:r>
    </w:p>
    <w:p>
      <w:pPr>
        <w:pBdr>
          <w:bottom w:val="single" w:color="000000" w:sz="6" w:space="1"/>
        </w:pBdr>
        <w:spacing w:after="140" w:before="14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sz w:val="22"/>
          <w:szCs w:val="22"/>
        </w:rPr>
        <w:t xml:space="preserve">TO:   THE REGISTRAR OF THE LABOUR COURT</w:t>
      </w:r>
      <w:r>
        <w:rPr>
          <w:rFonts w:ascii="Times New Roman" w:cs="Times New Roman" w:eastAsia="Times New Roman" w:hAnsi="Times New Roman"/>
          <w:sz w:val="22"/>
          <w:szCs w:val="22"/>
        </w:rPr>
        <w:t xml:space="preserve">, Cape Town</w:t>
      </w:r>
    </w:p>
    <w:p>
      <w:pPr>
        <w:spacing w:after="0" w:before="0"/>
      </w:pPr>
      <w:r>
        <w:rPr>
          <w:rFonts w:ascii="Times New Roman" w:cs="Times New Roman" w:eastAsia="Times New Roman" w:hAnsi="Times New Roman"/>
          <w:sz w:val="22"/>
          <w:szCs w:val="22"/>
        </w:rPr>
        <w:t xml:space="preserve"/>
      </w:r>
    </w:p>
    <w:p>
      <w:pPr>
        <w:spacing w:after="140" w:before="0"/>
        <w:jc w:val="both"/>
      </w:pPr>
      <w:r>
        <w:rPr>
          <w:rFonts w:ascii="Times New Roman" w:cs="Times New Roman" w:eastAsia="Times New Roman" w:hAnsi="Times New Roman"/>
          <w:b/>
          <w:bCs/>
          <w:sz w:val="22"/>
          <w:szCs w:val="22"/>
        </w:rPr>
        <w:t xml:space="preserve">AND TO:   DENEYS REITZ ATTORNEYS / DE COMPAGNE ATTORNEYS</w:t>
      </w:r>
    </w:p>
    <w:p>
      <w:pPr>
        <w:spacing w:after="140" w:before="0"/>
        <w:jc w:val="both"/>
      </w:pPr>
      <w:r>
        <w:rPr>
          <w:rFonts w:ascii="Times New Roman" w:cs="Times New Roman" w:eastAsia="Times New Roman" w:hAnsi="Times New Roman"/>
          <w:sz w:val="22"/>
          <w:szCs w:val="22"/>
        </w:rPr>
        <w:t xml:space="preserve">Defendants' Attorneys of Record</w:t>
      </w:r>
    </w:p>
    <w:p>
      <w:pPr>
        <w:spacing w:after="140" w:before="0"/>
        <w:jc w:val="both"/>
      </w:pPr>
      <w:r>
        <w:rPr>
          <w:rFonts w:ascii="Times New Roman" w:cs="Times New Roman" w:eastAsia="Times New Roman" w:hAnsi="Times New Roman"/>
          <w:sz w:val="22"/>
          <w:szCs w:val="22"/>
        </w:rPr>
        <w:t xml:space="preserve">Per: Jason J Whyte</w:t>
      </w:r>
    </w:p>
    <w:p>
      <w:pPr>
        <w:spacing w:after="140" w:before="0"/>
        <w:jc w:val="both"/>
      </w:pPr>
      <w:r>
        <w:rPr>
          <w:rFonts w:ascii="Times New Roman" w:cs="Times New Roman" w:eastAsia="Times New Roman" w:hAnsi="Times New Roman"/>
          <w:sz w:val="22"/>
          <w:szCs w:val="22"/>
        </w:rPr>
        <w:t xml:space="preserve">Email: jason.whyte@deneys.co.za / IR@afrocentrichealth.com</w:t>
      </w:r>
    </w:p>
    <w:p>
      <w:pPr>
        <w:spacing w:after="140" w:before="0"/>
        <w:jc w:val="both"/>
      </w:pPr>
      <w:r>
        <w:rPr>
          <w:rFonts w:ascii="Times New Roman" w:cs="Times New Roman" w:eastAsia="Times New Roman" w:hAnsi="Times New Roman"/>
          <w:sz w:val="22"/>
          <w:szCs w:val="22"/>
        </w:rPr>
        <w:t xml:space="preserve">Ref: AFR1282</w:t>
      </w:r>
    </w:p>
    <w:p>
      <w:pPr>
        <w:spacing w:after="0" w:before="0"/>
      </w:pPr>
      <w:r>
        <w:rPr>
          <w:rFonts w:ascii="Times New Roman" w:cs="Times New Roman" w:eastAsia="Times New Roman" w:hAnsi="Times New Roman"/>
          <w:sz w:val="22"/>
          <w:szCs w:val="22"/>
        </w:rPr>
        <w:t xml:space="preserve"/>
      </w:r>
    </w:p>
    <w:p>
      <w:pPr>
        <w:pBdr>
          <w:bottom w:val="single" w:color="000000" w:sz="6" w:space="1"/>
        </w:pBdr>
        <w:spacing w:after="140" w:before="14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80" w:before="80"/>
        <w:jc w:val="center"/>
      </w:pPr>
      <w:r>
        <w:rPr>
          <w:rFonts w:ascii="Times New Roman" w:cs="Times New Roman" w:eastAsia="Times New Roman" w:hAnsi="Times New Roman"/>
          <w:b/>
          <w:bCs/>
          <w:sz w:val="22"/>
          <w:szCs w:val="22"/>
        </w:rPr>
        <w:t xml:space="preserve">TABLE OF AUTHORITIES CITED</w:t>
      </w:r>
    </w:p>
    <w:p>
      <w:pPr>
        <w:spacing w:after="0" w:before="0"/>
      </w:pPr>
      <w:r>
        <w:rPr>
          <w:rFonts w:ascii="Times New Roman" w:cs="Times New Roman" w:eastAsia="Times New Roman" w:hAnsi="Times New Roman"/>
          <w:sz w:val="22"/>
          <w:szCs w:val="22"/>
        </w:rPr>
        <w:t xml:space="preserve"/>
      </w:r>
    </w:p>
    <w:p>
      <w:pPr>
        <w:spacing w:after="80" w:before="180"/>
        <w:jc w:val="left"/>
      </w:pPr>
      <w:r>
        <w:rPr>
          <w:rFonts w:ascii="Times New Roman" w:cs="Times New Roman" w:eastAsia="Times New Roman" w:hAnsi="Times New Roman"/>
          <w:b/>
          <w:bCs/>
          <w:sz w:val="22"/>
          <w:szCs w:val="22"/>
        </w:rPr>
        <w:t xml:space="preserve">Case Law</w:t>
      </w:r>
    </w:p>
    <w:p>
      <w:pPr>
        <w:spacing w:after="0" w:before="0"/>
      </w:pPr>
      <w:r>
        <w:rPr>
          <w:rFonts w:ascii="Times New Roman" w:cs="Times New Roman" w:eastAsia="Times New Roman" w:hAnsi="Times New Roman"/>
          <w:sz w:val="22"/>
          <w:szCs w:val="22"/>
        </w:rPr>
        <w:t xml:space="preserve"/>
      </w:r>
    </w:p>
    <w:p>
      <w:pPr>
        <w:spacing w:after="60" w:before="60"/>
        <w:ind w:left="800" w:hanging="400"/>
        <w:jc w:val="left"/>
      </w:pPr>
      <w:r>
        <w:rPr>
          <w:rFonts w:ascii="Times New Roman" w:cs="Times New Roman" w:eastAsia="Times New Roman" w:hAnsi="Times New Roman"/>
          <w:i/>
          <w:iCs/>
          <w:sz w:val="21"/>
          <w:szCs w:val="21"/>
        </w:rPr>
        <w:t xml:space="preserve">Botha v Du Preez NO (2002) 23 ILJ 2347 (LC)</w:t>
      </w:r>
    </w:p>
    <w:p>
      <w:pPr>
        <w:spacing w:after="60" w:before="60"/>
        <w:ind w:left="800" w:hanging="400"/>
        <w:jc w:val="left"/>
      </w:pPr>
      <w:r>
        <w:rPr>
          <w:rFonts w:ascii="Times New Roman" w:cs="Times New Roman" w:eastAsia="Times New Roman" w:hAnsi="Times New Roman"/>
          <w:i/>
          <w:iCs/>
          <w:sz w:val="21"/>
          <w:szCs w:val="21"/>
        </w:rPr>
        <w:t xml:space="preserve">Boxer Superstores Mthatha v Mbenya (2007) 28 ILJ 2209 (LAC)</w:t>
      </w:r>
    </w:p>
    <w:p>
      <w:pPr>
        <w:spacing w:after="60" w:before="60"/>
        <w:ind w:left="800" w:hanging="400"/>
        <w:jc w:val="left"/>
      </w:pPr>
      <w:r>
        <w:rPr>
          <w:rFonts w:ascii="Times New Roman" w:cs="Times New Roman" w:eastAsia="Times New Roman" w:hAnsi="Times New Roman"/>
          <w:i/>
          <w:iCs/>
          <w:sz w:val="21"/>
          <w:szCs w:val="21"/>
        </w:rPr>
        <w:t xml:space="preserve">Chirwa v Transnet Ltd 2008 (4) SA 367 (CC)</w:t>
      </w:r>
    </w:p>
    <w:p>
      <w:pPr>
        <w:spacing w:after="60" w:before="60"/>
        <w:ind w:left="800" w:hanging="400"/>
        <w:jc w:val="left"/>
      </w:pPr>
      <w:r>
        <w:rPr>
          <w:rFonts w:ascii="Times New Roman" w:cs="Times New Roman" w:eastAsia="Times New Roman" w:hAnsi="Times New Roman"/>
          <w:i/>
          <w:iCs/>
          <w:sz w:val="21"/>
          <w:szCs w:val="21"/>
        </w:rPr>
        <w:t xml:space="preserve">Dinamics and Others v Group Five Construction (2003) 24 ILJ 305 (LC)</w:t>
      </w:r>
    </w:p>
    <w:p>
      <w:pPr>
        <w:spacing w:after="60" w:before="60"/>
        <w:ind w:left="800" w:hanging="400"/>
        <w:jc w:val="left"/>
      </w:pPr>
      <w:r>
        <w:rPr>
          <w:rFonts w:ascii="Times New Roman" w:cs="Times New Roman" w:eastAsia="Times New Roman" w:hAnsi="Times New Roman"/>
          <w:i/>
          <w:iCs/>
          <w:sz w:val="21"/>
          <w:szCs w:val="21"/>
        </w:rPr>
        <w:t xml:space="preserve">Edcon Ltd v Pillemer NO (2010) 31 ILJ 178 (SCA)</w:t>
      </w:r>
    </w:p>
    <w:p>
      <w:pPr>
        <w:spacing w:after="60" w:before="60"/>
        <w:ind w:left="800" w:hanging="400"/>
        <w:jc w:val="left"/>
      </w:pPr>
      <w:r>
        <w:rPr>
          <w:rFonts w:ascii="Times New Roman" w:cs="Times New Roman" w:eastAsia="Times New Roman" w:hAnsi="Times New Roman"/>
          <w:i/>
          <w:iCs/>
          <w:sz w:val="21"/>
          <w:szCs w:val="21"/>
        </w:rPr>
        <w:t xml:space="preserve">Fakie NO v CCII Systems (Pty) Ltd 2006 (4) SA 326 (SCA)</w:t>
      </w:r>
    </w:p>
    <w:p>
      <w:pPr>
        <w:spacing w:after="60" w:before="60"/>
        <w:ind w:left="800" w:hanging="400"/>
        <w:jc w:val="left"/>
      </w:pPr>
      <w:r>
        <w:rPr>
          <w:rFonts w:ascii="Times New Roman" w:cs="Times New Roman" w:eastAsia="Times New Roman" w:hAnsi="Times New Roman"/>
          <w:i/>
          <w:iCs/>
          <w:sz w:val="21"/>
          <w:szCs w:val="21"/>
        </w:rPr>
        <w:t xml:space="preserve">Grant v Plumbers (Pty) Ltd 1949 (2) SA 470 (O)</w:t>
      </w:r>
    </w:p>
    <w:p>
      <w:pPr>
        <w:spacing w:after="60" w:before="60"/>
        <w:ind w:left="800" w:hanging="400"/>
        <w:jc w:val="left"/>
      </w:pPr>
      <w:r>
        <w:rPr>
          <w:rFonts w:ascii="Times New Roman" w:cs="Times New Roman" w:eastAsia="Times New Roman" w:hAnsi="Times New Roman"/>
          <w:i/>
          <w:iCs/>
          <w:sz w:val="21"/>
          <w:szCs w:val="21"/>
        </w:rPr>
        <w:t xml:space="preserve">Grieve v Denel SOC Ltd (2017) 38 ILJ 1643 (LC)</w:t>
      </w:r>
    </w:p>
    <w:p>
      <w:pPr>
        <w:spacing w:after="60" w:before="60"/>
        <w:ind w:left="800" w:hanging="400"/>
        <w:jc w:val="left"/>
      </w:pPr>
      <w:r>
        <w:rPr>
          <w:rFonts w:ascii="Times New Roman" w:cs="Times New Roman" w:eastAsia="Times New Roman" w:hAnsi="Times New Roman"/>
          <w:i/>
          <w:iCs/>
          <w:sz w:val="21"/>
          <w:szCs w:val="21"/>
        </w:rPr>
        <w:t xml:space="preserve">Kroukam v SA Airlink (Pty) Ltd (2005) 26 ILJ 2153 (LAC)</w:t>
      </w:r>
    </w:p>
    <w:p>
      <w:pPr>
        <w:spacing w:after="60" w:before="60"/>
        <w:ind w:left="800" w:hanging="400"/>
        <w:jc w:val="left"/>
      </w:pPr>
      <w:r>
        <w:rPr>
          <w:rFonts w:ascii="Times New Roman" w:cs="Times New Roman" w:eastAsia="Times New Roman" w:hAnsi="Times New Roman"/>
          <w:i/>
          <w:iCs/>
          <w:sz w:val="21"/>
          <w:szCs w:val="21"/>
        </w:rPr>
        <w:t xml:space="preserve">Kylie v CCMA 2010 (4) SA 383 (LAC)</w:t>
      </w:r>
    </w:p>
    <w:p>
      <w:pPr>
        <w:spacing w:after="60" w:before="60"/>
        <w:ind w:left="800" w:hanging="400"/>
        <w:jc w:val="left"/>
      </w:pPr>
      <w:r>
        <w:rPr>
          <w:rFonts w:ascii="Times New Roman" w:cs="Times New Roman" w:eastAsia="Times New Roman" w:hAnsi="Times New Roman"/>
          <w:i/>
          <w:iCs/>
          <w:sz w:val="21"/>
          <w:szCs w:val="21"/>
        </w:rPr>
        <w:t xml:space="preserve">Member of Executive Council for Finance, KwaZulu-Natal v Dorkin NO 2008 (2) SA 192 (SCA)</w:t>
      </w:r>
    </w:p>
    <w:p>
      <w:pPr>
        <w:spacing w:after="60" w:before="60"/>
        <w:ind w:left="800" w:hanging="400"/>
        <w:jc w:val="left"/>
      </w:pPr>
      <w:r>
        <w:rPr>
          <w:rFonts w:ascii="Times New Roman" w:cs="Times New Roman" w:eastAsia="Times New Roman" w:hAnsi="Times New Roman"/>
          <w:i/>
          <w:iCs/>
          <w:sz w:val="21"/>
          <w:szCs w:val="21"/>
        </w:rPr>
        <w:t xml:space="preserve">Molefe v Mahaeng 1999 (1) SA 562 (SCA)</w:t>
      </w:r>
    </w:p>
    <w:p>
      <w:pPr>
        <w:spacing w:after="60" w:before="60"/>
        <w:ind w:left="800" w:hanging="400"/>
        <w:jc w:val="left"/>
      </w:pPr>
      <w:r>
        <w:rPr>
          <w:rFonts w:ascii="Times New Roman" w:cs="Times New Roman" w:eastAsia="Times New Roman" w:hAnsi="Times New Roman"/>
          <w:i/>
          <w:iCs/>
          <w:sz w:val="21"/>
          <w:szCs w:val="21"/>
        </w:rPr>
        <w:t xml:space="preserve">Muller v Chairman, Ministers' Council, House of Representatives 1990 (2) SA 478 (C)</w:t>
      </w:r>
    </w:p>
    <w:p>
      <w:pPr>
        <w:spacing w:after="60" w:before="60"/>
        <w:ind w:left="800" w:hanging="400"/>
        <w:jc w:val="left"/>
      </w:pPr>
      <w:r>
        <w:rPr>
          <w:rFonts w:ascii="Times New Roman" w:cs="Times New Roman" w:eastAsia="Times New Roman" w:hAnsi="Times New Roman"/>
          <w:i/>
          <w:iCs/>
          <w:sz w:val="21"/>
          <w:szCs w:val="21"/>
        </w:rPr>
        <w:t xml:space="preserve">Murray v Minister of Defence 2009 (3) SA 130 (SCA)</w:t>
      </w:r>
    </w:p>
    <w:p>
      <w:pPr>
        <w:spacing w:after="60" w:before="60"/>
        <w:ind w:left="800" w:hanging="400"/>
        <w:jc w:val="left"/>
      </w:pPr>
      <w:r>
        <w:rPr>
          <w:rFonts w:ascii="Times New Roman" w:cs="Times New Roman" w:eastAsia="Times New Roman" w:hAnsi="Times New Roman"/>
          <w:i/>
          <w:iCs/>
          <w:sz w:val="21"/>
          <w:szCs w:val="21"/>
        </w:rPr>
        <w:t xml:space="preserve">National Union of Metalworkers of SA v Intervalve (Pty) Ltd 2015 (2) SA 1 (CC)</w:t>
      </w:r>
    </w:p>
    <w:p>
      <w:pPr>
        <w:spacing w:after="60" w:before="60"/>
        <w:ind w:left="800" w:hanging="400"/>
        <w:jc w:val="left"/>
      </w:pPr>
      <w:r>
        <w:rPr>
          <w:rFonts w:ascii="Times New Roman" w:cs="Times New Roman" w:eastAsia="Times New Roman" w:hAnsi="Times New Roman"/>
          <w:i/>
          <w:iCs/>
          <w:sz w:val="21"/>
          <w:szCs w:val="21"/>
        </w:rPr>
        <w:t xml:space="preserve">NUMSA v Bader Bop (Pty) Ltd 2003 (3) SA 513 (CC)</w:t>
      </w:r>
    </w:p>
    <w:p>
      <w:pPr>
        <w:spacing w:after="60" w:before="60"/>
        <w:ind w:left="800" w:hanging="400"/>
        <w:jc w:val="left"/>
      </w:pPr>
      <w:r>
        <w:rPr>
          <w:rFonts w:ascii="Times New Roman" w:cs="Times New Roman" w:eastAsia="Times New Roman" w:hAnsi="Times New Roman"/>
          <w:i/>
          <w:iCs/>
          <w:sz w:val="21"/>
          <w:szCs w:val="21"/>
        </w:rPr>
        <w:t xml:space="preserve">Pretoria Society of Advocates v Nthai (2008) 29 ILJ 1873 (LC)</w:t>
      </w:r>
    </w:p>
    <w:p>
      <w:pPr>
        <w:spacing w:after="60" w:before="60"/>
        <w:ind w:left="800" w:hanging="400"/>
        <w:jc w:val="left"/>
      </w:pPr>
      <w:r>
        <w:rPr>
          <w:rFonts w:ascii="Times New Roman" w:cs="Times New Roman" w:eastAsia="Times New Roman" w:hAnsi="Times New Roman"/>
          <w:i/>
          <w:iCs/>
          <w:sz w:val="21"/>
          <w:szCs w:val="21"/>
        </w:rPr>
        <w:t xml:space="preserve">S v Paramasivan 1998 (1) SACR 239 (N)</w:t>
      </w:r>
    </w:p>
    <w:p>
      <w:pPr>
        <w:spacing w:after="60" w:before="60"/>
        <w:ind w:left="800" w:hanging="400"/>
        <w:jc w:val="left"/>
      </w:pPr>
      <w:r>
        <w:rPr>
          <w:rFonts w:ascii="Times New Roman" w:cs="Times New Roman" w:eastAsia="Times New Roman" w:hAnsi="Times New Roman"/>
          <w:i/>
          <w:iCs/>
          <w:sz w:val="21"/>
          <w:szCs w:val="21"/>
        </w:rPr>
        <w:t xml:space="preserve">SA Post Office v Mampeule (2010) 31 ILJ 2051 (LAC)</w:t>
      </w:r>
    </w:p>
    <w:p>
      <w:pPr>
        <w:spacing w:after="60" w:before="60"/>
        <w:ind w:left="800" w:hanging="400"/>
        <w:jc w:val="left"/>
      </w:pPr>
      <w:r>
        <w:rPr>
          <w:rFonts w:ascii="Times New Roman" w:cs="Times New Roman" w:eastAsia="Times New Roman" w:hAnsi="Times New Roman"/>
          <w:i/>
          <w:iCs/>
          <w:sz w:val="21"/>
          <w:szCs w:val="21"/>
        </w:rPr>
        <w:t xml:space="preserve">Salomon v Salomon &amp; Co Ltd [1897] AC 22 (HL)</w:t>
      </w:r>
    </w:p>
    <w:p>
      <w:pPr>
        <w:spacing w:after="60" w:before="60"/>
        <w:ind w:left="800" w:hanging="400"/>
        <w:jc w:val="left"/>
      </w:pPr>
      <w:r>
        <w:rPr>
          <w:rFonts w:ascii="Times New Roman" w:cs="Times New Roman" w:eastAsia="Times New Roman" w:hAnsi="Times New Roman"/>
          <w:i/>
          <w:iCs/>
          <w:sz w:val="21"/>
          <w:szCs w:val="21"/>
        </w:rPr>
        <w:t xml:space="preserve">Sappi Fine Paper (Pty) Ltd v PPWAWU (1990) 11 ILJ 1190 (IC)</w:t>
      </w:r>
    </w:p>
    <w:p>
      <w:pPr>
        <w:spacing w:after="60" w:before="60"/>
        <w:ind w:left="800" w:hanging="400"/>
        <w:jc w:val="left"/>
      </w:pPr>
      <w:r>
        <w:rPr>
          <w:rFonts w:ascii="Times New Roman" w:cs="Times New Roman" w:eastAsia="Times New Roman" w:hAnsi="Times New Roman"/>
          <w:i/>
          <w:iCs/>
          <w:sz w:val="21"/>
          <w:szCs w:val="21"/>
        </w:rPr>
        <w:t xml:space="preserve">Solid Doors (Pty) Ltd v Theron (2004) 25 ILJ 2337 (LAC)</w:t>
      </w:r>
    </w:p>
    <w:p>
      <w:pPr>
        <w:spacing w:after="60" w:before="60"/>
        <w:ind w:left="800" w:hanging="400"/>
        <w:jc w:val="left"/>
      </w:pPr>
      <w:r>
        <w:rPr>
          <w:rFonts w:ascii="Times New Roman" w:cs="Times New Roman" w:eastAsia="Times New Roman" w:hAnsi="Times New Roman"/>
          <w:i/>
          <w:iCs/>
          <w:sz w:val="21"/>
          <w:szCs w:val="21"/>
        </w:rPr>
        <w:t xml:space="preserve">Swissborough Diamond Mines (Pty) Ltd v Government of the RSA 1999 (2) SA 279 (T)</w:t>
      </w:r>
    </w:p>
    <w:p>
      <w:pPr>
        <w:spacing w:after="60" w:before="60"/>
        <w:ind w:left="800" w:hanging="400"/>
        <w:jc w:val="left"/>
      </w:pPr>
      <w:r>
        <w:rPr>
          <w:rFonts w:ascii="Times New Roman" w:cs="Times New Roman" w:eastAsia="Times New Roman" w:hAnsi="Times New Roman"/>
          <w:i/>
          <w:iCs/>
          <w:sz w:val="21"/>
          <w:szCs w:val="21"/>
        </w:rPr>
        <w:t xml:space="preserve">Tshishonga v Minister of Justice and Constitutional Development 2007 (4) SA 135 (LC)</w:t>
      </w:r>
    </w:p>
    <w:p>
      <w:pPr>
        <w:spacing w:after="60" w:before="60"/>
        <w:ind w:left="800" w:hanging="400"/>
        <w:jc w:val="left"/>
      </w:pPr>
      <w:r>
        <w:rPr>
          <w:rFonts w:ascii="Times New Roman" w:cs="Times New Roman" w:eastAsia="Times New Roman" w:hAnsi="Times New Roman"/>
          <w:i/>
          <w:iCs/>
          <w:sz w:val="21"/>
          <w:szCs w:val="21"/>
        </w:rPr>
        <w:t xml:space="preserve">Wardlaw v Supreme Mouldings (Pty) Ltd (2007) 28 ILJ 1042 (LAC)</w:t>
      </w:r>
    </w:p>
    <w:p>
      <w:pPr>
        <w:spacing w:after="0" w:before="0"/>
      </w:pPr>
      <w:r>
        <w:rPr>
          <w:rFonts w:ascii="Times New Roman" w:cs="Times New Roman" w:eastAsia="Times New Roman" w:hAnsi="Times New Roman"/>
          <w:sz w:val="22"/>
          <w:szCs w:val="22"/>
        </w:rPr>
        <w:t xml:space="preserve"/>
      </w:r>
    </w:p>
    <w:p>
      <w:pPr>
        <w:spacing w:after="80" w:before="180"/>
        <w:jc w:val="left"/>
      </w:pPr>
      <w:r>
        <w:rPr>
          <w:rFonts w:ascii="Times New Roman" w:cs="Times New Roman" w:eastAsia="Times New Roman" w:hAnsi="Times New Roman"/>
          <w:b/>
          <w:bCs/>
          <w:sz w:val="22"/>
          <w:szCs w:val="22"/>
        </w:rPr>
        <w:t xml:space="preserve">Legislation</w:t>
      </w:r>
    </w:p>
    <w:p>
      <w:pPr>
        <w:spacing w:after="0" w:before="0"/>
      </w:pPr>
      <w:r>
        <w:rPr>
          <w:rFonts w:ascii="Times New Roman" w:cs="Times New Roman" w:eastAsia="Times New Roman" w:hAnsi="Times New Roman"/>
          <w:sz w:val="22"/>
          <w:szCs w:val="22"/>
        </w:rPr>
        <w:t xml:space="preserve"/>
      </w:r>
    </w:p>
    <w:p>
      <w:pPr>
        <w:spacing w:after="60" w:before="60"/>
        <w:ind w:left="800" w:hanging="400"/>
        <w:jc w:val="left"/>
      </w:pPr>
      <w:r>
        <w:rPr>
          <w:rFonts w:ascii="Times New Roman" w:cs="Times New Roman" w:eastAsia="Times New Roman" w:hAnsi="Times New Roman"/>
          <w:i/>
          <w:iCs/>
          <w:sz w:val="21"/>
          <w:szCs w:val="21"/>
        </w:rPr>
        <w:t xml:space="preserve">Basic Conditions of Employment Act 75 of 1997, Section 34(1) and 34(2)</w:t>
      </w:r>
    </w:p>
    <w:p>
      <w:pPr>
        <w:spacing w:after="60" w:before="60"/>
        <w:ind w:left="800" w:hanging="400"/>
        <w:jc w:val="left"/>
      </w:pPr>
      <w:r>
        <w:rPr>
          <w:rFonts w:ascii="Times New Roman" w:cs="Times New Roman" w:eastAsia="Times New Roman" w:hAnsi="Times New Roman"/>
          <w:i/>
          <w:iCs/>
          <w:sz w:val="21"/>
          <w:szCs w:val="21"/>
        </w:rPr>
        <w:t xml:space="preserve">Companies Act 71 of 2008</w:t>
      </w:r>
    </w:p>
    <w:p>
      <w:pPr>
        <w:spacing w:after="60" w:before="60"/>
        <w:ind w:left="800" w:hanging="400"/>
        <w:jc w:val="left"/>
      </w:pPr>
      <w:r>
        <w:rPr>
          <w:rFonts w:ascii="Times New Roman" w:cs="Times New Roman" w:eastAsia="Times New Roman" w:hAnsi="Times New Roman"/>
          <w:i/>
          <w:iCs/>
          <w:sz w:val="21"/>
          <w:szCs w:val="21"/>
        </w:rPr>
        <w:t xml:space="preserve">Employment Equity Act 55 of 1998, Section 6</w:t>
      </w:r>
    </w:p>
    <w:p>
      <w:pPr>
        <w:spacing w:after="60" w:before="60"/>
        <w:ind w:left="800" w:hanging="400"/>
        <w:jc w:val="left"/>
      </w:pPr>
      <w:r>
        <w:rPr>
          <w:rFonts w:ascii="Times New Roman" w:cs="Times New Roman" w:eastAsia="Times New Roman" w:hAnsi="Times New Roman"/>
          <w:i/>
          <w:iCs/>
          <w:sz w:val="21"/>
          <w:szCs w:val="21"/>
        </w:rPr>
        <w:t xml:space="preserve">Labour Relations Act 66 of 1995, Sections 186(1)(e), 187(1)(h), 194(3)</w:t>
      </w:r>
    </w:p>
    <w:p>
      <w:pPr>
        <w:spacing w:after="60" w:before="60"/>
        <w:ind w:left="800" w:hanging="400"/>
        <w:jc w:val="left"/>
      </w:pPr>
      <w:r>
        <w:rPr>
          <w:rFonts w:ascii="Times New Roman" w:cs="Times New Roman" w:eastAsia="Times New Roman" w:hAnsi="Times New Roman"/>
          <w:i/>
          <w:iCs/>
          <w:sz w:val="21"/>
          <w:szCs w:val="21"/>
        </w:rPr>
        <w:t xml:space="preserve">Protected Disclosures Act 26 of 2000, Sections 1 and 3</w:t>
      </w:r>
    </w:p>
    <w:p>
      <w:pPr>
        <w:spacing w:after="60" w:before="60"/>
        <w:ind w:left="800" w:hanging="400"/>
        <w:jc w:val="left"/>
      </w:pPr>
      <w:r>
        <w:rPr>
          <w:rFonts w:ascii="Times New Roman" w:cs="Times New Roman" w:eastAsia="Times New Roman" w:hAnsi="Times New Roman"/>
          <w:i/>
          <w:iCs/>
          <w:sz w:val="21"/>
          <w:szCs w:val="21"/>
        </w:rPr>
        <w:t xml:space="preserve">Uniform Rules of Court, Rule 22(2)</w:t>
      </w:r>
    </w:p>
    <w:p>
      <w:pPr>
        <w:spacing w:after="60" w:before="60"/>
        <w:ind w:left="800" w:hanging="400"/>
        <w:jc w:val="left"/>
      </w:pPr>
      <w:r>
        <w:rPr>
          <w:rFonts w:ascii="Times New Roman" w:cs="Times New Roman" w:eastAsia="Times New Roman" w:hAnsi="Times New Roman"/>
          <w:i/>
          <w:iCs/>
          <w:sz w:val="21"/>
          <w:szCs w:val="21"/>
        </w:rPr>
        <w:t xml:space="preserve">Labour Court Rules, Rule 6(5)(c)</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t xml:space="preserve">Page </w:t>
    </w:r>
    <w:r>
      <w:rPr>
        <w:rFonts w:ascii="Times New Roman" w:cs="Times New Roman" w:eastAsia="Times New Roman" w:hAnsi="Times New Roman"/>
        <w:sz w:val="19"/>
        <w:szCs w:val="19"/>
      </w:rPr>
      <w:fldChar w:fldCharType="begin"/>
      <w:instrText xml:space="preserve">PAGE</w:instrText>
      <w:fldChar w:fldCharType="separate"/>
      <w:fldChar w:fldCharType="end"/>
    </w:r>
    <w:r>
      <w:rPr>
        <w:rFonts w:ascii="Times New Roman" w:cs="Times New Roman" w:eastAsia="Times New Roman" w:hAnsi="Times New Roman"/>
        <w:sz w:val="19"/>
        <w:szCs w:val="19"/>
      </w:rPr>
      <w:t xml:space="preserve"> of </w:t>
    </w:r>
    <w:r>
      <w:rPr>
        <w:rFonts w:ascii="Times New Roman" w:cs="Times New Roman" w:eastAsia="Times New Roman" w:hAnsi="Times New Roman"/>
        <w:sz w:val="19"/>
        <w:szCs w:val="19"/>
      </w:rPr>
      <w:fldChar w:fldCharType="begin"/>
      <w:instrText xml:space="preserve">NUMPAGES</w:instrText>
      <w:fldChar w:fldCharType="separate"/>
      <w:fldChar w:fldCharType="end"/>
    </w:r>
    <w:r>
      <w:rPr>
        <w:rFonts w:ascii="Times New Roman" w:cs="Times New Roman" w:eastAsia="Times New Roman" w:hAnsi="Times New Roman"/>
        <w:sz w:val="19"/>
        <w:szCs w:val="19"/>
      </w:rPr>
      <w:t xml:space="preserve">   |   Case Nos: 2026-083299 / 2026-077546   |   Matthee v AfroCentric Health (Pty) Ltd &amp; Another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2026-05-19T23:21:08.192Z</dcterms:created>
  <dcterms:modified xsi:type="dcterms:W3CDTF">2026-05-19T23:21:08.213Z</dcterms:modified>
</cp:coreProperties>
</file>

<file path=docProps/custom.xml><?xml version="1.0" encoding="utf-8"?>
<Properties xmlns="http://schemas.openxmlformats.org/officeDocument/2006/custom-properties" xmlns:vt="http://schemas.openxmlformats.org/officeDocument/2006/docPropsVTypes"/>
</file>