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cs="Times New Roman" w:eastAsia="Times New Roman" w:hAnsi="Times New Roman"/>
          <w:b/>
          <w:bCs/>
          <w:sz w:val="24"/>
          <w:szCs w:val="24"/>
        </w:rPr>
        <w:t xml:space="preserve">IN THE LABOUR COURT OF SOUTH AFRICA</w:t>
      </w:r>
    </w:p>
    <w:p>
      <w:pPr>
        <w:spacing w:line="360" w:lineRule="auto"/>
        <w:jc w:val="center"/>
      </w:pPr>
      <w:r>
        <w:rPr>
          <w:rFonts w:ascii="Times New Roman" w:cs="Times New Roman" w:eastAsia="Times New Roman" w:hAnsi="Times New Roman"/>
          <w:b/>
          <w:bCs/>
          <w:sz w:val="24"/>
          <w:szCs w:val="24"/>
        </w:rPr>
        <w:t xml:space="preserve">CAPE TOWN</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Case No: [To be allocated by Registrar]</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In the matter between:</w:t>
      </w:r>
    </w:p>
    <w:p>
      <w:pPr>
        <w:spacing w:line="360" w:lineRule="auto"/>
      </w:pPr>
      <w:r>
        <w:rPr>
          <w:rFonts w:ascii="Times New Roman" w:cs="Times New Roman" w:eastAsia="Times New Roman" w:hAnsi="Times New Roman"/>
          <w:sz w:val="24"/>
          <w:szCs w:val="24"/>
        </w:rPr>
        <w:t xml:space="preserve"/>
      </w:r>
    </w:p>
    <w:p>
      <w:pPr>
        <w:tabs>
          <w:tab w:val="right" w:pos="8787"/>
        </w:tabs>
        <w:spacing w:line="360" w:lineRule="auto"/>
      </w:pPr>
      <w:r>
        <w:rPr>
          <w:rFonts w:ascii="Times New Roman" w:cs="Times New Roman" w:eastAsia="Times New Roman" w:hAnsi="Times New Roman"/>
          <w:b/>
          <w:bCs/>
          <w:sz w:val="24"/>
          <w:szCs w:val="24"/>
        </w:rPr>
        <w:t xml:space="preserve">WILBUR WILLIAM MATTHEE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Applicant</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sz w:val="24"/>
          <w:szCs w:val="24"/>
        </w:rPr>
        <w:t xml:space="preserve">and</w:t>
      </w:r>
    </w:p>
    <w:p>
      <w:pPr>
        <w:spacing w:line="360" w:lineRule="auto"/>
      </w:pPr>
      <w:r>
        <w:rPr>
          <w:rFonts w:ascii="Times New Roman" w:cs="Times New Roman" w:eastAsia="Times New Roman" w:hAnsi="Times New Roman"/>
          <w:sz w:val="24"/>
          <w:szCs w:val="24"/>
        </w:rPr>
        <w:t xml:space="preserve"/>
      </w:r>
    </w:p>
    <w:p>
      <w:pPr>
        <w:tabs>
          <w:tab w:val="right" w:pos="8787"/>
        </w:tabs>
        <w:spacing w:line="360" w:lineRule="auto"/>
      </w:pPr>
      <w:r>
        <w:rPr>
          <w:rFonts w:ascii="Times New Roman" w:cs="Times New Roman" w:eastAsia="Times New Roman" w:hAnsi="Times New Roman"/>
          <w:b/>
          <w:bCs/>
          <w:sz w:val="24"/>
          <w:szCs w:val="24"/>
        </w:rPr>
        <w:t xml:space="preserve">AFROCENTRIC HEALTH (RF) (PTY) LTD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First Respondent</w:t>
      </w:r>
    </w:p>
    <w:p>
      <w:pPr>
        <w:spacing w:line="360" w:lineRule="auto"/>
      </w:pPr>
      <w:r>
        <w:rPr>
          <w:rFonts w:ascii="Times New Roman" w:cs="Times New Roman" w:eastAsia="Times New Roman" w:hAnsi="Times New Roman"/>
          <w:sz w:val="24"/>
          <w:szCs w:val="24"/>
        </w:rPr>
        <w:t xml:space="preserve"/>
      </w:r>
    </w:p>
    <w:p>
      <w:pPr>
        <w:tabs>
          <w:tab w:val="right" w:pos="8787"/>
        </w:tabs>
        <w:spacing w:line="360" w:lineRule="auto"/>
      </w:pPr>
      <w:r>
        <w:rPr>
          <w:rFonts w:ascii="Times New Roman" w:cs="Times New Roman" w:eastAsia="Times New Roman" w:hAnsi="Times New Roman"/>
          <w:b/>
          <w:bCs/>
          <w:sz w:val="24"/>
          <w:szCs w:val="24"/>
        </w:rPr>
        <w:t xml:space="preserve">MEDSCHEME HOLDINGS (PTY) LTD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Second Respondent</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sz w:val="24"/>
          <w:szCs w:val="24"/>
        </w:rPr>
        <w:t xml:space="preserve">───────────────────────────────────────────────────────</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b/>
          <w:bCs/>
          <w:sz w:val="24"/>
          <w:szCs w:val="24"/>
        </w:rPr>
        <w:t xml:space="preserve">AMENDED HEADS OF ARGUMENT</w:t>
      </w:r>
    </w:p>
    <w:p>
      <w:pPr>
        <w:spacing w:line="360" w:lineRule="auto"/>
        <w:jc w:val="center"/>
      </w:pPr>
      <w:r>
        <w:rPr>
          <w:rFonts w:ascii="Times New Roman" w:cs="Times New Roman" w:eastAsia="Times New Roman" w:hAnsi="Times New Roman"/>
          <w:b w:val="false"/>
          <w:bCs w:val="false"/>
          <w:sz w:val="24"/>
          <w:szCs w:val="24"/>
        </w:rPr>
        <w:t xml:space="preserve">(Incorporating Supplementary Case Law, Intellectual Property Misappropriation,</w:t>
      </w:r>
    </w:p>
    <w:p>
      <w:pPr>
        <w:spacing w:line="360" w:lineRule="auto"/>
        <w:jc w:val="center"/>
      </w:pPr>
      <w:r>
        <w:rPr>
          <w:rFonts w:ascii="Times New Roman" w:cs="Times New Roman" w:eastAsia="Times New Roman" w:hAnsi="Times New Roman"/>
          <w:b w:val="false"/>
          <w:bCs w:val="false"/>
          <w:sz w:val="24"/>
          <w:szCs w:val="24"/>
        </w:rPr>
        <w:t xml:space="preserve">Vicarious Liability, and Perjury Reservation)</w:t>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sz w:val="24"/>
          <w:szCs w:val="24"/>
        </w:rPr>
        <w:t xml:space="preserve">───────────────────────────────────────────────────────</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PRELIMINARY NOTE ON RESPONDENTS</w:t>
      </w:r>
    </w:p>
    <w:p>
      <w:pPr>
        <w:spacing w:line="360" w:lineRule="auto"/>
      </w:pPr>
      <w:r>
        <w:rPr>
          <w:rFonts w:ascii="Times New Roman" w:cs="Times New Roman" w:eastAsia="Times New Roman" w:hAnsi="Times New Roman"/>
          <w:sz w:val="24"/>
          <w:szCs w:val="24"/>
        </w:rPr>
        <w:t xml:space="preserve">These Amended Heads of Argument are directed against two Respondents only: AfroCentric Health (RF) (Pty) Ltd ("First Respondent") and Medscheme Holdings (Pty) Ltd ("Second Respondent"). AfroCentric Investment Corporation Limited, the ultimate holding company, is the subject of concurrent proceedings in the High Court under Case No. 2026-066952 and is not joined in these proceedings. All references to "the Respondents" in these Heads are accordingly references to the First and Second Respondents.</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A.  INTRODUCTION</w:t>
      </w:r>
    </w:p>
    <w:p>
      <w:pPr>
        <w:tabs>
          <w:tab w:val="left" w:pos="720"/>
        </w:tabs>
        <w:spacing w:line="360" w:lineRule="auto"/>
        <w:ind w:left="720" w:hanging="720"/>
      </w:pPr>
      <w:r>
        <w:rPr>
          <w:rFonts w:ascii="Times New Roman" w:cs="Times New Roman" w:eastAsia="Times New Roman" w:hAnsi="Times New Roman"/>
          <w:sz w:val="24"/>
          <w:szCs w:val="24"/>
        </w:rPr>
        <w:t xml:space="preserve">1.	This application is brought by the Applicant, a former employee of the First Respondent, for relief arising from: (a) an unlawful salary deduction of R14,811.77 processed by the Second Respondent on 23 July 2025; and (b) the unlawful misappropriation of the Applicant's independently designed continuing professional development ("CPD") programme by the Respondents' management personnel in October 2025, without attribution, consent, or compensation.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2.	The Applicant seeks:</w:t>
      </w:r>
    </w:p>
    <w:p>
      <w:pPr>
        <w:tabs>
          <w:tab w:val="left" w:pos="1440"/>
        </w:tabs>
        <w:spacing w:line="360" w:lineRule="auto"/>
        <w:ind w:left="1440" w:hanging="720"/>
      </w:pPr>
      <w:r>
        <w:rPr>
          <w:rFonts w:ascii="Times New Roman" w:cs="Times New Roman" w:eastAsia="Times New Roman" w:hAnsi="Times New Roman"/>
          <w:sz w:val="24"/>
          <w:szCs w:val="24"/>
        </w:rPr>
        <w:t xml:space="preserve">2.1.	A declaration that the deduction of R14,811.77 was unlawful under section 34(1) of the Basic Conditions of Employment Act 75 of 1997 ("BCEA");</w:t>
      </w:r>
    </w:p>
    <w:p>
      <w:pPr>
        <w:tabs>
          <w:tab w:val="left" w:pos="1440"/>
        </w:tabs>
        <w:spacing w:line="360" w:lineRule="auto"/>
        <w:ind w:left="1440" w:hanging="720"/>
      </w:pPr>
      <w:r>
        <w:rPr>
          <w:rFonts w:ascii="Times New Roman" w:cs="Times New Roman" w:eastAsia="Times New Roman" w:hAnsi="Times New Roman"/>
          <w:sz w:val="24"/>
          <w:szCs w:val="24"/>
        </w:rPr>
        <w:t xml:space="preserve">2.2.	A declaration that the deduction exceeded the statutory maximum under section 34(2) of the BCEA;</w:t>
      </w:r>
    </w:p>
    <w:p>
      <w:pPr>
        <w:tabs>
          <w:tab w:val="left" w:pos="1440"/>
        </w:tabs>
        <w:spacing w:line="360" w:lineRule="auto"/>
        <w:ind w:left="1440" w:hanging="720"/>
      </w:pPr>
      <w:r>
        <w:rPr>
          <w:rFonts w:ascii="Times New Roman" w:cs="Times New Roman" w:eastAsia="Times New Roman" w:hAnsi="Times New Roman"/>
          <w:sz w:val="24"/>
          <w:szCs w:val="24"/>
        </w:rPr>
        <w:t xml:space="preserve">2.3.	An order for repayment of R14,811.77;</w:t>
      </w:r>
    </w:p>
    <w:p>
      <w:pPr>
        <w:tabs>
          <w:tab w:val="left" w:pos="1440"/>
        </w:tabs>
        <w:spacing w:line="360" w:lineRule="auto"/>
        <w:ind w:left="1440" w:hanging="720"/>
      </w:pPr>
      <w:r>
        <w:rPr>
          <w:rFonts w:ascii="Times New Roman" w:cs="Times New Roman" w:eastAsia="Times New Roman" w:hAnsi="Times New Roman"/>
          <w:sz w:val="24"/>
          <w:szCs w:val="24"/>
        </w:rPr>
        <w:t xml:space="preserve">2.4.	Damages alternatively compensation for the unlawful misappropriation of the Applicant's CPD programme, quantification of which is reserved pending discovery;</w:t>
      </w:r>
    </w:p>
    <w:p>
      <w:pPr>
        <w:tabs>
          <w:tab w:val="left" w:pos="1440"/>
        </w:tabs>
        <w:spacing w:line="360" w:lineRule="auto"/>
        <w:ind w:left="1440" w:hanging="720"/>
      </w:pPr>
      <w:r>
        <w:rPr>
          <w:rFonts w:ascii="Times New Roman" w:cs="Times New Roman" w:eastAsia="Times New Roman" w:hAnsi="Times New Roman"/>
          <w:sz w:val="24"/>
          <w:szCs w:val="24"/>
        </w:rPr>
        <w:t xml:space="preserve">2.5.	Solatium of R50,000.00 for injury to dignity and psychological harm;</w:t>
      </w:r>
    </w:p>
    <w:p>
      <w:pPr>
        <w:tabs>
          <w:tab w:val="left" w:pos="1440"/>
        </w:tabs>
        <w:spacing w:line="360" w:lineRule="auto"/>
        <w:ind w:left="1440" w:hanging="720"/>
      </w:pPr>
      <w:r>
        <w:rPr>
          <w:rFonts w:ascii="Times New Roman" w:cs="Times New Roman" w:eastAsia="Times New Roman" w:hAnsi="Times New Roman"/>
          <w:sz w:val="24"/>
          <w:szCs w:val="24"/>
        </w:rPr>
        <w:t xml:space="preserve">2.6.	Interest at the prescribed rate; and</w:t>
      </w:r>
    </w:p>
    <w:p>
      <w:pPr>
        <w:tabs>
          <w:tab w:val="left" w:pos="1440"/>
        </w:tabs>
        <w:spacing w:line="360" w:lineRule="auto"/>
        <w:ind w:left="1440" w:hanging="720"/>
      </w:pPr>
      <w:r>
        <w:rPr>
          <w:rFonts w:ascii="Times New Roman" w:cs="Times New Roman" w:eastAsia="Times New Roman" w:hAnsi="Times New Roman"/>
          <w:sz w:val="24"/>
          <w:szCs w:val="24"/>
        </w:rPr>
        <w:t xml:space="preserve">2.7.	A punitive costs order.</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B.  FACTUAL BACKGROUND</w:t>
      </w:r>
    </w:p>
    <w:p>
      <w:pPr>
        <w:spacing w:after="80" w:before="200" w:line="360" w:lineRule="auto"/>
      </w:pPr>
      <w:r>
        <w:rPr>
          <w:rFonts w:ascii="Times New Roman" w:cs="Times New Roman" w:eastAsia="Times New Roman" w:hAnsi="Times New Roman"/>
          <w:b/>
          <w:bCs/>
          <w:sz w:val="24"/>
          <w:szCs w:val="24"/>
        </w:rPr>
        <w:t xml:space="preserve">Part 1: The Unlawful Salary Deduction</w:t>
      </w:r>
    </w:p>
    <w:p>
      <w:pPr>
        <w:tabs>
          <w:tab w:val="left" w:pos="720"/>
        </w:tabs>
        <w:spacing w:line="360" w:lineRule="auto"/>
        <w:ind w:left="720" w:hanging="720"/>
      </w:pPr>
      <w:r>
        <w:rPr>
          <w:rFonts w:ascii="Times New Roman" w:cs="Times New Roman" w:eastAsia="Times New Roman" w:hAnsi="Times New Roman"/>
          <w:sz w:val="24"/>
          <w:szCs w:val="24"/>
        </w:rPr>
        <w:t xml:space="preserve">3.	The Applicant was employed as a Case Manager: GEMS Active Disease Risk Management ("ADRM") within the Respondents' group structure. His employment contract was issued on the letterhead of AfroCentric Investment Corporation Limited. He reported directly to Ms Mary-Ann Jones, Team Leader: GEMS ADRM, employed by the Second Respondent and acting within the course and scope of that employment at all material times.</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4.	On 18 March 2025, the Applicant was admitted to Akeso Stepping Stones Clinic for inpatient treatment of severe depression and post-traumatic stress disorder ("PTSD"), under the care of specialist psychiatrist Dr Jacques Malan.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5.	On 15 May 2025, Dr Malan wrote to the Respondents (Annexure H) confirming that: the Applicant required inpatient treatment; the Applicant was at risk and struggling to cope with daily tasks; and the Applicant required urgent re-admission for further inpatient treatment as soon as a bed became available.</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6.	A gap period of 7 to 8 days occurred between psychiatric admissions due to bed unavailability. This was not a voluntary absence but a medically documented waiting period. The Respondents had Dr Malan's letter on file prior to any deduction decision.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7.	On 23 July 2025, the Second Respondent processed a deduction of R14,811.77 from the Applicant's salary, coded as "Unpaid Leave Recovery" and "Unpaid Leave" (Annexure A), representing approximately 40.47% of his gross monthly remuneration of R36,588.81.</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8.	Prior to the deduction, the Applicant requested that any recovery be staggered over multiple pay cycles. Ms Mary-Ann Jones responded that the company "does not stagger debt as it is not a loan company" (Annexure C). This statement was false and materially misleading: the Respondents' own Ill-Health and Incapacity Policy (Annexure B) expressly provides for staggered recovery and caps any deduction at 25% of CTC.</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9.	No HCBP consultation was conducted with the Applicant before the deduction was imposed, in breach of the Respondents' own procedural requirements.</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Part 2: Misappropriation of the Applicant's CPD Programme</w:t>
      </w:r>
    </w:p>
    <w:p>
      <w:pPr>
        <w:tabs>
          <w:tab w:val="left" w:pos="720"/>
        </w:tabs>
        <w:spacing w:line="360" w:lineRule="auto"/>
        <w:ind w:left="720" w:hanging="720"/>
      </w:pPr>
      <w:r>
        <w:rPr>
          <w:rFonts w:ascii="Times New Roman" w:cs="Times New Roman" w:eastAsia="Times New Roman" w:hAnsi="Times New Roman"/>
          <w:sz w:val="24"/>
          <w:szCs w:val="24"/>
        </w:rPr>
        <w:t xml:space="preserve">10.	In or about April 2025, the Applicant independently designed and developed a continuing professional development programme ("the CPD Programme") for case managers within the ADRM environment. The CPD Programme was the Applicant's own original intellectual work, created independently of and outside the scope of his contracted employment duties as a Case Manager.</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11.	The Applicant submitted the CPD Programme to Ms Mary-Ann Jones and operational management for adoption by the department. The submission was declined. The Respondents, through their management personnel, expressly rejected the CPD Programme without providing substantive reasons.</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12.	In October 2025, the Applicant became aware that a continuing professional development programme materially identical in structure, content, and methodology to the CPD Programme he had designed had been implemented across the ADRM department. The programme was presented as the Respondents' own work. The Applicant was given no credit, attribution, or compensation.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13.	The email chain in GEMS Case No. 000655789 Dependent 02 (Annexure VICT1), in which the Applicant independently identified and documented the Gexus/DMS system integration failure, demonstrates the quality and rigour of the Applicant's clinical governance and analytical work product — the same intellectual capacity that produced the misappropriated CPD Programme.</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14.	The misappropriation was effected by or through Ms Mary-Ann Jones and the Respondents' operational management, all of whom were employed by the Second Respondent and acting within the course and scope of their employment at all material times. The Second Respondent is accordingly vicariously liable for their conduct. The First Respondent, as the contracting employer within whose operational environment the misappropriation occurred, is jointly liable.</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C.  LEGAL FRAMEWORK</w:t>
      </w:r>
    </w:p>
    <w:p>
      <w:pPr>
        <w:spacing w:after="80" w:before="200" w:line="360" w:lineRule="auto"/>
      </w:pPr>
      <w:r>
        <w:rPr>
          <w:rFonts w:ascii="Times New Roman" w:cs="Times New Roman" w:eastAsia="Times New Roman" w:hAnsi="Times New Roman"/>
          <w:b/>
          <w:bCs/>
          <w:sz w:val="24"/>
          <w:szCs w:val="24"/>
        </w:rPr>
        <w:t xml:space="preserve">Section 34 of the Basic Conditions of Employment Act 75 of 1997</w:t>
      </w:r>
    </w:p>
    <w:p>
      <w:pPr>
        <w:tabs>
          <w:tab w:val="left" w:pos="720"/>
        </w:tabs>
        <w:spacing w:line="360" w:lineRule="auto"/>
        <w:ind w:left="720" w:hanging="720"/>
      </w:pPr>
      <w:r>
        <w:rPr>
          <w:rFonts w:ascii="Times New Roman" w:cs="Times New Roman" w:eastAsia="Times New Roman" w:hAnsi="Times New Roman"/>
          <w:sz w:val="24"/>
          <w:szCs w:val="24"/>
        </w:rPr>
        <w:t xml:space="preserve">15.	Section 34(1) of the BCEA provides:</w:t>
      </w:r>
    </w:p>
    <w:p>
      <w:pPr>
        <w:spacing w:after="120" w:before="120" w:line="360" w:lineRule="auto"/>
        <w:ind w:left="1080" w:right="720"/>
      </w:pPr>
      <w:r>
        <w:rPr>
          <w:rFonts w:ascii="Times New Roman" w:cs="Times New Roman" w:eastAsia="Times New Roman" w:hAnsi="Times New Roman"/>
          <w:i/>
          <w:iCs/>
          <w:sz w:val="24"/>
          <w:szCs w:val="24"/>
        </w:rPr>
        <w:t xml:space="preserve">"An employer may not make any deduction from an employee's remuneration unless – (a) the employee in writing agrees to the deduction in respect of a debt specified in the agreement; or (b) the deduction is required or permitted in terms of a law, collective agreement, court order or arbitration award."</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16.	Section 34(2) provides:</w:t>
      </w:r>
    </w:p>
    <w:p>
      <w:pPr>
        <w:spacing w:after="120" w:before="120" w:line="360" w:lineRule="auto"/>
        <w:ind w:left="1080" w:right="720"/>
      </w:pPr>
      <w:r>
        <w:rPr>
          <w:rFonts w:ascii="Times New Roman" w:cs="Times New Roman" w:eastAsia="Times New Roman" w:hAnsi="Times New Roman"/>
          <w:i/>
          <w:iCs/>
          <w:sz w:val="24"/>
          <w:szCs w:val="24"/>
        </w:rPr>
        <w:t xml:space="preserve">"A deduction in terms of subsection (1)(a) may not exceed one quarter of an employee's remuneration in respect of any month unless the employee agrees in writing to a higher deduction."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17.	In South African Medical Association obo Boffard v Charlotte Maxeke Johannesburg Hospital and Others [2014] ZALCJHB 78; (2014) 35 ILJ 1998 (LC), the Labour Court held that deductions made without compliance with section 34 are unlawful and impermissible in the absence of prior written consent. The facts are on all fours with the present matter.</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Employment Equity Act 55 of 1998 and Reasonable Accommodation</w:t>
      </w:r>
    </w:p>
    <w:p>
      <w:pPr>
        <w:tabs>
          <w:tab w:val="left" w:pos="720"/>
        </w:tabs>
        <w:spacing w:line="360" w:lineRule="auto"/>
        <w:ind w:left="720" w:hanging="720"/>
      </w:pPr>
      <w:r>
        <w:rPr>
          <w:rFonts w:ascii="Times New Roman" w:cs="Times New Roman" w:eastAsia="Times New Roman" w:hAnsi="Times New Roman"/>
          <w:sz w:val="24"/>
          <w:szCs w:val="24"/>
        </w:rPr>
        <w:t xml:space="preserve">18.	Section 6 of the Employment Equity Act 55 of 1998 ("EEA") prohibits unfair discrimination on the ground of disability. Severe depression and PTSD constitute a disability under the EEA and the Code of Good Practice on the Employment of People with Disabilities.</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19.	In Solidarity obo Nel v National Metrology Institute of South Africa (202744/2025) [2026] ZALCJHB 6 (5 January 2026), the Labour Court confirmed that failure to meaningfully implement accommodation recommendations for a diagnosed mental disability, where medical evidence is undisputed, constitutes a breach of the EEA. The Court granted interim relief compelling accommodation.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20.	In Stobart (Ireland) Limited v Richard Beashel [2014], the Court held that an employer aware of an employee's depression who fails to make inquiries, keeping itself wilfully ignorant, breaches its duty. The employer must be in full possession of all material facts before taking adverse action.</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Vicarious Liability</w:t>
      </w:r>
    </w:p>
    <w:p>
      <w:pPr>
        <w:tabs>
          <w:tab w:val="left" w:pos="720"/>
        </w:tabs>
        <w:spacing w:line="360" w:lineRule="auto"/>
        <w:ind w:left="720" w:hanging="720"/>
      </w:pPr>
      <w:r>
        <w:rPr>
          <w:rFonts w:ascii="Times New Roman" w:cs="Times New Roman" w:eastAsia="Times New Roman" w:hAnsi="Times New Roman"/>
          <w:sz w:val="24"/>
          <w:szCs w:val="24"/>
        </w:rPr>
        <w:t xml:space="preserve">21.	The doctrine of vicarious liability is well-established in South African law. In Minister of Finance v Gore NO 2007 (1) SA 111 (SCA), the Supreme Court of Appeal confirmed that an employer is vicariously liable for the delictual or wrongful acts of its employees where those acts are committed within the course and scope of their employment.</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22.	In K v Minister of Safety and Security 2005 (6) SA 419 (CC), the Constitutional Court endorsed a flexible "sufficiently close link" test: vicarious liability attaches where there is a sufficiently close connection between the employment relationship and the wrongful act, even where the act was not expressly authorised by the employer.</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23.	The relevant acts of Ms Mary-Ann Jones and the Respondents' operational management — namely, the misrepresentation regarding the staggering policy, the failure to consult, the imposition of the unlawful deduction, and the misappropriation of the CPD Programme — were all committed in the exercise of their managerial functions within the operational environment of the Respondents. The nexus between their employment and the wrongful acts is direct and immediate.</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24.	In Denel (Pty) Ltd v Vorster 2004 (4) SA 481 (SCA), the Supreme Court of Appeal held that undertakings and representations made by employer representatives in the course of their employment bind the employer. Ms Jones's written misrepresentation that staggering was not permitted accordingly binds both Respondents.</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Intellectual Property Misappropriation</w:t>
      </w:r>
    </w:p>
    <w:p>
      <w:pPr>
        <w:tabs>
          <w:tab w:val="left" w:pos="720"/>
        </w:tabs>
        <w:spacing w:line="360" w:lineRule="auto"/>
        <w:ind w:left="720" w:hanging="720"/>
      </w:pPr>
      <w:r>
        <w:rPr>
          <w:rFonts w:ascii="Times New Roman" w:cs="Times New Roman" w:eastAsia="Times New Roman" w:hAnsi="Times New Roman"/>
          <w:sz w:val="24"/>
          <w:szCs w:val="24"/>
        </w:rPr>
        <w:t xml:space="preserve">25.	The default position under South African law, consistent with the common law, is that intellectual property created by an employee entirely outside the scope and without the resources of their contracted employment duties belongs to the employee, not the employer. A CPD curriculum independently designed by a nurse specialist and submitted voluntarily to management — and expressly declined — does not fall within the scope of a Case Manager's contracted duties. Ownership therefore vested in the Applicant.</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26.	In Payen Components SA Ltd v Bovic CC and Others 1995 (4) SA 441 (A), the Appellate Division confirmed that an employer who receives an employee's original work product and subsequently exploits it without authority and without compensation is liable in delict and on the grounds of unjust enrichment.</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27.	The principle in Faccenda Chicken Ltd v Fowler [1987] Ch 117 further supports the proposition that an employer cannot appropriate an employee's original work, having first declined to adopt it, and then implement it as the employer's own without consent or attribution. Such conduct gives rise to a claim for damages alternatively reasonable compensation for the use of the work.</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Solatium and Bad Faith Conduct</w:t>
      </w:r>
    </w:p>
    <w:p>
      <w:pPr>
        <w:tabs>
          <w:tab w:val="left" w:pos="720"/>
        </w:tabs>
        <w:spacing w:line="360" w:lineRule="auto"/>
        <w:ind w:left="720" w:hanging="720"/>
      </w:pPr>
      <w:r>
        <w:rPr>
          <w:rFonts w:ascii="Times New Roman" w:cs="Times New Roman" w:eastAsia="Times New Roman" w:hAnsi="Times New Roman"/>
          <w:sz w:val="24"/>
          <w:szCs w:val="24"/>
        </w:rPr>
        <w:t xml:space="preserve">28.	In NEHAWU v University of Cape Town [2003] 3 BLLR 154 (CC), the Constitutional Court confirmed that solatium may be awarded where an employer's breach of statutory obligations demonstrates bad faith, oppression, or reckless disregard for employee dignity.</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29.	In Chura v Batten Industries Inc [2023], the Court awarded special costs where the opposing party provided false evidence, suppressed evidence, and deliberately destroyed potentially relevant evidence — conduct characterised as reprehensible.</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30.	In Joubert v Swakop Uranium (Pty) Ltd [2015] NALCMD 24, costs de bonis propriis on an attorney-client scale were awarded where a party acted with bias and malice, causing the forfeiture of the "shield of immunity" ordinarily available to litigants.</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D.  SUBMISSIONS</w:t>
      </w:r>
    </w:p>
    <w:p>
      <w:pPr>
        <w:spacing w:after="80" w:before="200" w:line="360" w:lineRule="auto"/>
      </w:pPr>
      <w:r>
        <w:rPr>
          <w:rFonts w:ascii="Times New Roman" w:cs="Times New Roman" w:eastAsia="Times New Roman" w:hAnsi="Times New Roman"/>
          <w:b/>
          <w:bCs/>
          <w:sz w:val="24"/>
          <w:szCs w:val="24"/>
        </w:rPr>
        <w:t xml:space="preserve">Submission 1: The deduction was unlawful under section 34(1) of the BCEA</w:t>
      </w:r>
    </w:p>
    <w:p>
      <w:pPr>
        <w:tabs>
          <w:tab w:val="left" w:pos="720"/>
        </w:tabs>
        <w:spacing w:line="360" w:lineRule="auto"/>
        <w:ind w:left="720" w:hanging="720"/>
      </w:pPr>
      <w:r>
        <w:rPr>
          <w:rFonts w:ascii="Times New Roman" w:cs="Times New Roman" w:eastAsia="Times New Roman" w:hAnsi="Times New Roman"/>
          <w:sz w:val="24"/>
          <w:szCs w:val="24"/>
        </w:rPr>
        <w:t xml:space="preserve">31.	The Respondents did not obtain the Applicant's written consent. No court order, arbitration award, collective agreement, or statutory provision authorised the deduction. The deduction contravenes section 34(1) in its entirety.</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32.	On the authority of Boffard, deductions premised on alleged unauthorised absence, made without hearing and without written consent, are unlawful. The present matter is on all fours with that decision.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33.	The Respondents cannot rely on a "no work, no pay" defence. The gap days arose from a medically documented waiting period between psychiatric admissions caused by bed unavailability — not voluntary absence. The Respondents had prior written notice from Dr Malan confirming medical necessity.</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Submission 2: The deduction exceeded the statutory 25% maximum</w:t>
      </w:r>
    </w:p>
    <w:p>
      <w:pPr>
        <w:tabs>
          <w:tab w:val="left" w:pos="720"/>
        </w:tabs>
        <w:spacing w:line="360" w:lineRule="auto"/>
        <w:ind w:left="720" w:hanging="720"/>
      </w:pPr>
      <w:r>
        <w:rPr>
          <w:rFonts w:ascii="Times New Roman" w:cs="Times New Roman" w:eastAsia="Times New Roman" w:hAnsi="Times New Roman"/>
          <w:sz w:val="24"/>
          <w:szCs w:val="24"/>
        </w:rPr>
        <w:t xml:space="preserve">34.	The deduction of R14,811.77 represented approximately 40.47% of gross monthly remuneration of R36,588.81 — nearly double the statutory cap. Section 34(2) permits a maximum of 25% absent a written agreement to a higher deduction. No such agreement exists. The Respondents also breached their own policy cap of 25% of CTC.</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Submission 3: Failure to make reasonable accommodation for psychiatric disability</w:t>
      </w:r>
    </w:p>
    <w:p>
      <w:pPr>
        <w:tabs>
          <w:tab w:val="left" w:pos="720"/>
        </w:tabs>
        <w:spacing w:line="360" w:lineRule="auto"/>
        <w:ind w:left="720" w:hanging="720"/>
      </w:pPr>
      <w:r>
        <w:rPr>
          <w:rFonts w:ascii="Times New Roman" w:cs="Times New Roman" w:eastAsia="Times New Roman" w:hAnsi="Times New Roman"/>
          <w:sz w:val="24"/>
          <w:szCs w:val="24"/>
        </w:rPr>
        <w:t xml:space="preserve">35.	The Respondents had written notice from Dr Malan of the Applicant's psychiatric disability and the medical necessity of re-admission. Applying Solidarity obo Nel and Stobart, the Respondents were obliged to engage meaningfully with the specialist's recommendations before taking any adverse action.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36.	The Applicant's request to stagger recovery was a minimal, zero-cost accommodation. It was refused outright and accompanied by a written misrepresentation of the Respondents' own policy. In Croft Vets v Butcher, failure to act on a psychiatrist's recommendations was held to constitute a breach of the reasonable accommodation duty. The same finding is warranted here.</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Submission 4: The inter-admission gap is not voluntary absence</w:t>
      </w:r>
    </w:p>
    <w:p>
      <w:pPr>
        <w:tabs>
          <w:tab w:val="left" w:pos="720"/>
        </w:tabs>
        <w:spacing w:line="360" w:lineRule="auto"/>
        <w:ind w:left="720" w:hanging="720"/>
      </w:pPr>
      <w:r>
        <w:rPr>
          <w:rFonts w:ascii="Times New Roman" w:cs="Times New Roman" w:eastAsia="Times New Roman" w:hAnsi="Times New Roman"/>
          <w:sz w:val="24"/>
          <w:szCs w:val="24"/>
        </w:rPr>
        <w:t xml:space="preserve">37.	A period of enforced waiting for a hospital bed, under medical advice to be re-admitted, is a period of medical necessity. It cannot be classified as voluntary absence amenable to unilateral deduction. The Respondents had Dr Malan's letter before the deduction was processed. Penalising the Applicant for that period constitutes both a BCEA breach and unfair discrimination on the ground of disability.</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Submission 5: Unlawful misappropriation of the Applicant's CPD Programme</w:t>
      </w:r>
    </w:p>
    <w:p>
      <w:pPr>
        <w:tabs>
          <w:tab w:val="left" w:pos="720"/>
        </w:tabs>
        <w:spacing w:line="360" w:lineRule="auto"/>
        <w:ind w:left="720" w:hanging="720"/>
      </w:pPr>
      <w:r>
        <w:rPr>
          <w:rFonts w:ascii="Times New Roman" w:cs="Times New Roman" w:eastAsia="Times New Roman" w:hAnsi="Times New Roman"/>
          <w:sz w:val="24"/>
          <w:szCs w:val="24"/>
        </w:rPr>
        <w:t xml:space="preserve">38.	The CPD Programme was independently designed by the Applicant and submitted voluntarily to the Respondents' management. It was expressly declined. It was subsequently implemented across the ADRM department without the Applicant's consent, without attribution, and without compensation.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39.	The programme fell outside the contracted scope of the Applicant's duties as a Case Manager. Ownership vested in the Applicant as a matter of law. The Respondents' adoption and implementation of the programme without consent constituted an unlawful appropriation of the Applicant's intellectual property.</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40.	On the authority of Payen Components and Faccenda Chicken, the Respondents are liable for: (a) damages for the unlawful appropriation; alternatively, (b) reasonable compensation for the commercial value of the programme to the Respondents' operations, quantified with reference to what a willing licensor and willing licensee would have agreed. The Applicant reserves the right to call expert evidence on quantification.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41.	The pattern of conduct — declining the programme in April 2025 and implementing it as the Respondents' own in October 2025 — is consistent with the broader pattern of institutional bad faith identified throughout these proceedings. It reinforces the basis for solatium and punitive costs.</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Submission 6: The Respondents are vicariously liable for the acts of their management personnel</w:t>
      </w:r>
    </w:p>
    <w:p>
      <w:pPr>
        <w:tabs>
          <w:tab w:val="left" w:pos="720"/>
        </w:tabs>
        <w:spacing w:line="360" w:lineRule="auto"/>
        <w:ind w:left="720" w:hanging="720"/>
      </w:pPr>
      <w:r>
        <w:rPr>
          <w:rFonts w:ascii="Times New Roman" w:cs="Times New Roman" w:eastAsia="Times New Roman" w:hAnsi="Times New Roman"/>
          <w:sz w:val="24"/>
          <w:szCs w:val="24"/>
        </w:rPr>
        <w:t xml:space="preserve">42.	The Second Respondent is the payroll entity and the employer of Ms Mary-Ann Jones and the operational management personnel who: (a) imposed the unlawful deduction; (b) made a written misrepresentation of the group's own policy; (c) failed to consult the Applicant; and (d) misappropriated the CPD Programme.</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43.	Each of these acts was committed in the course and scope of their employment as managers within the Second Respondent's operational structure. Applying Minister of Finance v Gore and K v Minister of Safety and Security, the Second Respondent is vicariously liable for all of them.</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44.	The First Respondent, as the contracting employer within whose operational environment all relevant acts occurred and who directly benefited from the misappropriated CPD Programme, bears concurrent liability. The doctrine of vicarious liability does not require that the wrongful act be expressly authorised: it is sufficient that the employment provided the occasion for the wrongful act and that the act was committed in furtherance of the employer's operations.</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45.	On the authority of Denel v Vorster, the written misrepresentation by Ms Jones that staggering was not permitted is binding on both Respondents. They cannot disavow a representation made by a manager acting within her scope of authority, having already benefited from the Applicant's resulting reliance on that representation.</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46.	Both Respondents are accordingly jointly and severally liable for the full relief sought in the Notice of Motion.</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Submission 7: The Applicant is entitled to solatium</w:t>
      </w:r>
    </w:p>
    <w:p>
      <w:pPr>
        <w:tabs>
          <w:tab w:val="left" w:pos="720"/>
        </w:tabs>
        <w:spacing w:line="360" w:lineRule="auto"/>
        <w:ind w:left="720" w:hanging="720"/>
      </w:pPr>
      <w:r>
        <w:rPr>
          <w:rFonts w:ascii="Times New Roman" w:cs="Times New Roman" w:eastAsia="Times New Roman" w:hAnsi="Times New Roman"/>
          <w:sz w:val="24"/>
          <w:szCs w:val="24"/>
        </w:rPr>
        <w:t xml:space="preserve">47.	The unlawful deduction was imposed with full knowledge of the Applicant's psychiatric disability, in breach of the Respondents' own policy, following a deliberate written misrepresentation, and without any attempt at accommodation. The CPD misappropriation added a further dimension of bad faith — the Respondents rejected the Applicant's original work, then silently implemented it as their own during the same period in which they were suppressing his complaint.</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48.	The circumstances meeting the NEHAWU v UCT threshold include:</w:t>
      </w:r>
    </w:p>
    <w:p>
      <w:pPr>
        <w:tabs>
          <w:tab w:val="left" w:pos="1440"/>
        </w:tabs>
        <w:spacing w:line="360" w:lineRule="auto"/>
        <w:ind w:left="1440" w:hanging="720"/>
      </w:pPr>
      <w:r>
        <w:rPr>
          <w:rFonts w:ascii="Times New Roman" w:cs="Times New Roman" w:eastAsia="Times New Roman" w:hAnsi="Times New Roman"/>
          <w:sz w:val="24"/>
          <w:szCs w:val="24"/>
        </w:rPr>
        <w:t xml:space="preserve">48.1.	A deduction of 40.47% — nearly double the statutory ceiling — imposed on a documented psychiatric patient;</w:t>
      </w:r>
    </w:p>
    <w:p>
      <w:pPr>
        <w:tabs>
          <w:tab w:val="left" w:pos="1440"/>
        </w:tabs>
        <w:spacing w:line="360" w:lineRule="auto"/>
        <w:ind w:left="1440" w:hanging="720"/>
      </w:pPr>
      <w:r>
        <w:rPr>
          <w:rFonts w:ascii="Times New Roman" w:cs="Times New Roman" w:eastAsia="Times New Roman" w:hAnsi="Times New Roman"/>
          <w:sz w:val="24"/>
          <w:szCs w:val="24"/>
        </w:rPr>
        <w:t xml:space="preserve">48.2.	A written misrepresentation of the Respondents' own policy by a manager acting within the scope of her employment;</w:t>
      </w:r>
    </w:p>
    <w:p>
      <w:pPr>
        <w:tabs>
          <w:tab w:val="left" w:pos="1440"/>
        </w:tabs>
        <w:spacing w:line="360" w:lineRule="auto"/>
        <w:ind w:left="1440" w:hanging="720"/>
      </w:pPr>
      <w:r>
        <w:rPr>
          <w:rFonts w:ascii="Times New Roman" w:cs="Times New Roman" w:eastAsia="Times New Roman" w:hAnsi="Times New Roman"/>
          <w:sz w:val="24"/>
          <w:szCs w:val="24"/>
        </w:rPr>
        <w:t xml:space="preserve">48.3.	Failure to follow the Respondents' own HCBP consultation procedure;</w:t>
      </w:r>
    </w:p>
    <w:p>
      <w:pPr>
        <w:tabs>
          <w:tab w:val="left" w:pos="1440"/>
        </w:tabs>
        <w:spacing w:line="360" w:lineRule="auto"/>
        <w:ind w:left="1440" w:hanging="720"/>
      </w:pPr>
      <w:r>
        <w:rPr>
          <w:rFonts w:ascii="Times New Roman" w:cs="Times New Roman" w:eastAsia="Times New Roman" w:hAnsi="Times New Roman"/>
          <w:sz w:val="24"/>
          <w:szCs w:val="24"/>
        </w:rPr>
        <w:t xml:space="preserve">48.4.	A false sworn statement by Mr Manyathi dismissing the Applicant's specialist-diagnosed condition as a "cynical excuse";</w:t>
      </w:r>
    </w:p>
    <w:p>
      <w:pPr>
        <w:tabs>
          <w:tab w:val="left" w:pos="1440"/>
        </w:tabs>
        <w:spacing w:line="360" w:lineRule="auto"/>
        <w:ind w:left="1440" w:hanging="720"/>
      </w:pPr>
      <w:r>
        <w:rPr>
          <w:rFonts w:ascii="Times New Roman" w:cs="Times New Roman" w:eastAsia="Times New Roman" w:hAnsi="Times New Roman"/>
          <w:sz w:val="24"/>
          <w:szCs w:val="24"/>
        </w:rPr>
        <w:t xml:space="preserve">48.5.	Post-resignation statutory breaches: UIF non-remittance (Annexures I and J) and a misrepresentation on the Certificate of Service (Annexure K); and</w:t>
      </w:r>
    </w:p>
    <w:p>
      <w:pPr>
        <w:tabs>
          <w:tab w:val="left" w:pos="1440"/>
        </w:tabs>
        <w:spacing w:line="360" w:lineRule="auto"/>
        <w:ind w:left="1440" w:hanging="720"/>
      </w:pPr>
      <w:r>
        <w:rPr>
          <w:rFonts w:ascii="Times New Roman" w:cs="Times New Roman" w:eastAsia="Times New Roman" w:hAnsi="Times New Roman"/>
          <w:sz w:val="24"/>
          <w:szCs w:val="24"/>
        </w:rPr>
        <w:t xml:space="preserve">48.6.	The silent appropriation of the Applicant's CPD Programme during the same period.</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49.	The cumulative consequences — forced retirement fund withdrawal, eviction notices, threatened SANC deregistration, and effective professional erasure — were foreseeable. An award of R50,000.00 as solatium is modest and warranted.</w:t>
      </w:r>
    </w:p>
    <w:p>
      <w:pPr>
        <w:spacing w:line="360" w:lineRule="auto"/>
      </w:pPr>
      <w:r>
        <w:rPr>
          <w:rFonts w:ascii="Times New Roman" w:cs="Times New Roman" w:eastAsia="Times New Roman" w:hAnsi="Times New Roman"/>
          <w:sz w:val="24"/>
          <w:szCs w:val="24"/>
        </w:rPr>
        <w:t xml:space="preserve"/>
      </w:r>
    </w:p>
    <w:p>
      <w:pPr>
        <w:spacing w:after="80" w:before="200" w:line="360" w:lineRule="auto"/>
      </w:pPr>
      <w:r>
        <w:rPr>
          <w:rFonts w:ascii="Times New Roman" w:cs="Times New Roman" w:eastAsia="Times New Roman" w:hAnsi="Times New Roman"/>
          <w:b/>
          <w:bCs/>
          <w:sz w:val="24"/>
          <w:szCs w:val="24"/>
        </w:rPr>
        <w:t xml:space="preserve">Submission 8: Punitive costs and perjury reservation</w:t>
      </w:r>
    </w:p>
    <w:p>
      <w:pPr>
        <w:tabs>
          <w:tab w:val="left" w:pos="720"/>
        </w:tabs>
        <w:spacing w:line="360" w:lineRule="auto"/>
        <w:ind w:left="720" w:hanging="720"/>
      </w:pPr>
      <w:r>
        <w:rPr>
          <w:rFonts w:ascii="Times New Roman" w:cs="Times New Roman" w:eastAsia="Times New Roman" w:hAnsi="Times New Roman"/>
          <w:sz w:val="24"/>
          <w:szCs w:val="24"/>
        </w:rPr>
        <w:t xml:space="preserve">50.	The Respondents' conduct warrants a punitive costs order on an attorney-client scale. Applying Chura and Joubert, the following features of the Respondents' conduct are individually and cumulatively sufficient:</w:t>
      </w:r>
    </w:p>
    <w:p>
      <w:pPr>
        <w:tabs>
          <w:tab w:val="left" w:pos="1440"/>
        </w:tabs>
        <w:spacing w:line="360" w:lineRule="auto"/>
        <w:ind w:left="1440" w:hanging="720"/>
      </w:pPr>
      <w:r>
        <w:rPr>
          <w:rFonts w:ascii="Times New Roman" w:cs="Times New Roman" w:eastAsia="Times New Roman" w:hAnsi="Times New Roman"/>
          <w:sz w:val="24"/>
          <w:szCs w:val="24"/>
        </w:rPr>
        <w:t xml:space="preserve">50.1.	The deliberate misrepresentation by Ms Jones regarding staggering policy;</w:t>
      </w:r>
    </w:p>
    <w:p>
      <w:pPr>
        <w:tabs>
          <w:tab w:val="left" w:pos="1440"/>
        </w:tabs>
        <w:spacing w:line="360" w:lineRule="auto"/>
        <w:ind w:left="1440" w:hanging="720"/>
      </w:pPr>
      <w:r>
        <w:rPr>
          <w:rFonts w:ascii="Times New Roman" w:cs="Times New Roman" w:eastAsia="Times New Roman" w:hAnsi="Times New Roman"/>
          <w:sz w:val="24"/>
          <w:szCs w:val="24"/>
        </w:rPr>
        <w:t xml:space="preserve">50.2.	Proceeding with the deduction despite prior written specialist notice that the Applicant was at risk;</w:t>
      </w:r>
    </w:p>
    <w:p>
      <w:pPr>
        <w:tabs>
          <w:tab w:val="left" w:pos="1440"/>
        </w:tabs>
        <w:spacing w:line="360" w:lineRule="auto"/>
        <w:ind w:left="1440" w:hanging="720"/>
      </w:pPr>
      <w:r>
        <w:rPr>
          <w:rFonts w:ascii="Times New Roman" w:cs="Times New Roman" w:eastAsia="Times New Roman" w:hAnsi="Times New Roman"/>
          <w:sz w:val="24"/>
          <w:szCs w:val="24"/>
        </w:rPr>
        <w:t xml:space="preserve">50.3.	The false sworn statement by Mr Manyathi dismissing the Applicant's psychiatric condition as a "cynical excuse";</w:t>
      </w:r>
    </w:p>
    <w:p>
      <w:pPr>
        <w:tabs>
          <w:tab w:val="left" w:pos="1440"/>
        </w:tabs>
        <w:spacing w:line="360" w:lineRule="auto"/>
        <w:ind w:left="1440" w:hanging="720"/>
      </w:pPr>
      <w:r>
        <w:rPr>
          <w:rFonts w:ascii="Times New Roman" w:cs="Times New Roman" w:eastAsia="Times New Roman" w:hAnsi="Times New Roman"/>
          <w:sz w:val="24"/>
          <w:szCs w:val="24"/>
        </w:rPr>
        <w:t xml:space="preserve">50.4.	Post-resignation UIF non-remittance and Certificate of Service misrepresentation; and</w:t>
      </w:r>
    </w:p>
    <w:p>
      <w:pPr>
        <w:tabs>
          <w:tab w:val="left" w:pos="1440"/>
        </w:tabs>
        <w:spacing w:line="360" w:lineRule="auto"/>
        <w:ind w:left="1440" w:hanging="720"/>
      </w:pPr>
      <w:r>
        <w:rPr>
          <w:rFonts w:ascii="Times New Roman" w:cs="Times New Roman" w:eastAsia="Times New Roman" w:hAnsi="Times New Roman"/>
          <w:sz w:val="24"/>
          <w:szCs w:val="24"/>
        </w:rPr>
        <w:t xml:space="preserve">50.5.	The silent appropriation of the Applicant's independently designed CPD Programme.</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51.	Regarding Mr Manyathi's sworn statement: the Applicant places on record that he has identified specific material false statements in that affidavit, which are directly contradicted by contemporaneous documentary evidence including Annexure H (Dr Malan's specialist letter), Annexure B (the Respondents' own policy), and Annexure C (Ms Jones's written misrepresentation). The Applicant reserves his right to refer the matter to the South African Police Service and the National Prosecuting Authority for investigation and prosecution under section 319 of the Criminal Procedure Act 51 of 1977, read with the Perjury provisions of the common law, once these proceedings are concluded. The Court is respectfully requested to take note of this reservation.</w:t>
      </w:r>
    </w:p>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E.  SUMMARY OF CASE LAW CITED</w:t>
      </w:r>
    </w:p>
    <w:p>
      <w:pPr>
        <w:spacing w:line="360" w:lineRule="auto"/>
      </w:pPr>
      <w:r>
        <w:rPr>
          <w:rFonts w:ascii="Times New Roman" w:cs="Times New Roman" w:eastAsia="Times New Roman" w:hAnsi="Times New Roman"/>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042"/>
        <w:gridCol w:w="4745"/>
      </w:tblGrid>
      <w:tr>
        <w:trPr>
          <w:tblHeader/>
        </w:trPr>
        <w:tc>
          <w:tcPr>
            <w:tcW w:type="dxa" w:w="4042"/>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line="360" w:lineRule="auto"/>
            </w:pPr>
            <w:r>
              <w:rPr>
                <w:rFonts w:ascii="Times New Roman" w:cs="Times New Roman" w:eastAsia="Times New Roman" w:hAnsi="Times New Roman"/>
                <w:b/>
                <w:bCs/>
                <w:color w:val="FFFFFF"/>
                <w:sz w:val="20"/>
                <w:szCs w:val="20"/>
              </w:rPr>
              <w:t xml:space="preserve">Case</w:t>
            </w:r>
          </w:p>
        </w:tc>
        <w:tc>
          <w:tcPr>
            <w:tcW w:type="dxa" w:w="4745"/>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line="360" w:lineRule="auto"/>
            </w:pPr>
            <w:r>
              <w:rPr>
                <w:rFonts w:ascii="Times New Roman" w:cs="Times New Roman" w:eastAsia="Times New Roman" w:hAnsi="Times New Roman"/>
                <w:b/>
                <w:bCs/>
                <w:color w:val="FFFFFF"/>
                <w:sz w:val="20"/>
                <w:szCs w:val="20"/>
              </w:rPr>
              <w:t xml:space="preserve">Principle Applied</w:t>
            </w:r>
          </w:p>
        </w:tc>
      </w:tr>
      <w:tr>
        <w:tc>
          <w:tcPr>
            <w:tcW w:type="dxa" w:w="40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Boffard v Charlotte Maxeke Hospital [2014] ZALCJHB 78; (2014) 35 ILJ 1998 (LC)</w:t>
            </w:r>
          </w:p>
        </w:tc>
        <w:tc>
          <w:tcPr>
            <w:tcW w:type="dxa" w:w="4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Deductions without written consent or prior hearing are unlawful under s 34 BCEA</w:t>
            </w:r>
          </w:p>
        </w:tc>
      </w:tr>
      <w:tr>
        <w:tc>
          <w:tcPr>
            <w:tcW w:type="dxa" w:w="4042"/>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Solidarity obo Nel v NMISA (202744/2025) [2026] ZALCJHB 6 (5 January 2026)</w:t>
            </w:r>
          </w:p>
        </w:tc>
        <w:tc>
          <w:tcPr>
            <w:tcW w:type="dxa" w:w="4745"/>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Failure to implement reasonable accommodation for mental disability breaches the EEA; Court may intervene to prevent harm</w:t>
            </w:r>
          </w:p>
        </w:tc>
      </w:tr>
      <w:tr>
        <w:tc>
          <w:tcPr>
            <w:tcW w:type="dxa" w:w="40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Stobart (Ireland) Limited v Beashel [2014]</w:t>
            </w:r>
          </w:p>
        </w:tc>
        <w:tc>
          <w:tcPr>
            <w:tcW w:type="dxa" w:w="4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Employer aware of depression must make inquiries and accommodate; wilful ignorance breaches duty of care</w:t>
            </w:r>
          </w:p>
        </w:tc>
      </w:tr>
      <w:tr>
        <w:tc>
          <w:tcPr>
            <w:tcW w:type="dxa" w:w="4042"/>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Croft Vets v Butcher</w:t>
            </w:r>
          </w:p>
        </w:tc>
        <w:tc>
          <w:tcPr>
            <w:tcW w:type="dxa" w:w="4745"/>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Failure to act on psychiatrist's recommendations for employee with depression breaches reasonable accommodation duty</w:t>
            </w:r>
          </w:p>
        </w:tc>
      </w:tr>
      <w:tr>
        <w:tc>
          <w:tcPr>
            <w:tcW w:type="dxa" w:w="40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NEHAWU v University of Cape Town [2003] 3 BLLR 154 (CC)</w:t>
            </w:r>
          </w:p>
        </w:tc>
        <w:tc>
          <w:tcPr>
            <w:tcW w:type="dxa" w:w="4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Solatium awardable where employer conduct demonstrates bad faith, oppression, or disregard for employee dignity</w:t>
            </w:r>
          </w:p>
        </w:tc>
      </w:tr>
      <w:tr>
        <w:tc>
          <w:tcPr>
            <w:tcW w:type="dxa" w:w="4042"/>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Minister of Finance v Gore NO 2007 (1) SA 111 (SCA)</w:t>
            </w:r>
          </w:p>
        </w:tc>
        <w:tc>
          <w:tcPr>
            <w:tcW w:type="dxa" w:w="4745"/>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Employer vicariously liable for wrongful acts of employees committed within course and scope of employment</w:t>
            </w:r>
          </w:p>
        </w:tc>
      </w:tr>
      <w:tr>
        <w:tc>
          <w:tcPr>
            <w:tcW w:type="dxa" w:w="40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K v Minister of Safety and Security 2005 (6) SA 419 (CC)</w:t>
            </w:r>
          </w:p>
        </w:tc>
        <w:tc>
          <w:tcPr>
            <w:tcW w:type="dxa" w:w="4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Constitutional Court confirmed vicarious liability applies where there is a sufficiently close link between employment and the wrongful act</w:t>
            </w:r>
          </w:p>
        </w:tc>
      </w:tr>
      <w:tr>
        <w:tc>
          <w:tcPr>
            <w:tcW w:type="dxa" w:w="4042"/>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Denel (Pty) Ltd v Vorster 2004 (4) SA 481 (SCA)</w:t>
            </w:r>
          </w:p>
        </w:tc>
        <w:tc>
          <w:tcPr>
            <w:tcW w:type="dxa" w:w="4745"/>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Oral undertakings made by employer representatives in course of employment are binding on the employer</w:t>
            </w:r>
          </w:p>
        </w:tc>
      </w:tr>
      <w:tr>
        <w:tc>
          <w:tcPr>
            <w:tcW w:type="dxa" w:w="40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Joubert v Swakop Uranium (Pty) Ltd [2015] NALCMD 24</w:t>
            </w:r>
          </w:p>
        </w:tc>
        <w:tc>
          <w:tcPr>
            <w:tcW w:type="dxa" w:w="4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Punitive costs (de bonis propriis, attorney-client scale) awarded where party acts with bad faith and malice</w:t>
            </w:r>
          </w:p>
        </w:tc>
      </w:tr>
      <w:tr>
        <w:tc>
          <w:tcPr>
            <w:tcW w:type="dxa" w:w="4042"/>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Chura v Batten Industries Inc [2023]</w:t>
            </w:r>
          </w:p>
        </w:tc>
        <w:tc>
          <w:tcPr>
            <w:tcW w:type="dxa" w:w="4745"/>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Special costs awarded for false evidence, suppression of evidence, and deliberate destruction of relevant material</w:t>
            </w:r>
          </w:p>
        </w:tc>
      </w:tr>
      <w:tr>
        <w:tc>
          <w:tcPr>
            <w:tcW w:type="dxa" w:w="40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Payen Components SA Ltd v Bovic CC and Others 1995 (4) SA 441 (A)</w:t>
            </w:r>
          </w:p>
        </w:tc>
        <w:tc>
          <w:tcPr>
            <w:tcW w:type="dxa" w:w="4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Misappropriation of confidential information and original work product by employer or its agents gives rise to damages claim</w:t>
            </w:r>
          </w:p>
        </w:tc>
      </w:tr>
      <w:tr>
        <w:tc>
          <w:tcPr>
            <w:tcW w:type="dxa" w:w="4042"/>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Faccenda Chicken Ltd v Fowler [1987] Ch 117</w:t>
            </w:r>
          </w:p>
        </w:tc>
        <w:tc>
          <w:tcPr>
            <w:tcW w:type="dxa" w:w="4745"/>
            <w:tcBorders>
              <w:top w:val="single" w:color="000000" w:sz="4"/>
              <w:left w:val="single" w:color="000000" w:sz="4"/>
              <w:bottom w:val="single" w:color="000000" w:sz="4"/>
              <w:right w:val="single" w:color="000000" w:sz="4"/>
            </w:tcBorders>
            <w:shd w:fill="E8EDF4" w:val="clear"/>
            <w:tcMar>
              <w:top w:type="dxa" w:w="80"/>
              <w:left w:type="dxa" w:w="120"/>
              <w:bottom w:type="dxa" w:w="80"/>
              <w:right w:type="dxa" w:w="120"/>
            </w:tcMar>
          </w:tcPr>
          <w:p>
            <w:pPr>
              <w:spacing w:line="360" w:lineRule="auto"/>
            </w:pPr>
            <w:r>
              <w:rPr>
                <w:rFonts w:ascii="Times New Roman" w:cs="Times New Roman" w:eastAsia="Times New Roman" w:hAnsi="Times New Roman"/>
                <w:sz w:val="20"/>
                <w:szCs w:val="20"/>
              </w:rPr>
              <w:t xml:space="preserve">Employer who receives and exploits an employee's original work without authorisation is liable for unjust enrichment</w:t>
            </w:r>
          </w:p>
        </w:tc>
      </w:tr>
    </w:tbl>
    <w:p>
      <w:pPr>
        <w:spacing w:line="360" w:lineRule="auto"/>
      </w:pPr>
      <w:r>
        <w:rPr>
          <w:rFonts w:ascii="Times New Roman" w:cs="Times New Roman" w:eastAsia="Times New Roman" w:hAnsi="Times New Roman"/>
          <w:sz w:val="24"/>
          <w:szCs w:val="24"/>
        </w:rPr>
        <w:t xml:space="preserve"/>
      </w:r>
    </w:p>
    <w:p>
      <w:pPr>
        <w:spacing w:after="120" w:before="280" w:line="360" w:lineRule="auto"/>
      </w:pPr>
      <w:r>
        <w:rPr>
          <w:rFonts w:ascii="Times New Roman" w:cs="Times New Roman" w:eastAsia="Times New Roman" w:hAnsi="Times New Roman"/>
          <w:b/>
          <w:bCs/>
          <w:sz w:val="24"/>
          <w:szCs w:val="24"/>
          <w:u w:val="single"/>
        </w:rPr>
        <w:t xml:space="preserve">F.  CONCLUSION</w:t>
      </w:r>
    </w:p>
    <w:p>
      <w:pPr>
        <w:tabs>
          <w:tab w:val="left" w:pos="720"/>
        </w:tabs>
        <w:spacing w:line="360" w:lineRule="auto"/>
        <w:ind w:left="720" w:hanging="720"/>
      </w:pPr>
      <w:r>
        <w:rPr>
          <w:rFonts w:ascii="Times New Roman" w:cs="Times New Roman" w:eastAsia="Times New Roman" w:hAnsi="Times New Roman"/>
          <w:sz w:val="24"/>
          <w:szCs w:val="24"/>
        </w:rPr>
        <w:t xml:space="preserve">52.	The Applicant has established on the papers that:</w:t>
      </w:r>
    </w:p>
    <w:p>
      <w:pPr>
        <w:tabs>
          <w:tab w:val="left" w:pos="1440"/>
        </w:tabs>
        <w:spacing w:line="360" w:lineRule="auto"/>
        <w:ind w:left="1440" w:hanging="720"/>
      </w:pPr>
      <w:r>
        <w:rPr>
          <w:rFonts w:ascii="Times New Roman" w:cs="Times New Roman" w:eastAsia="Times New Roman" w:hAnsi="Times New Roman"/>
          <w:sz w:val="24"/>
          <w:szCs w:val="24"/>
        </w:rPr>
        <w:t xml:space="preserve">52.1.	The deduction of R14,811.77 was made without written consent and without legal authorisation, in contravention of section 34(1) of the BCEA and Boffard;</w:t>
      </w:r>
    </w:p>
    <w:p>
      <w:pPr>
        <w:tabs>
          <w:tab w:val="left" w:pos="1440"/>
        </w:tabs>
        <w:spacing w:line="360" w:lineRule="auto"/>
        <w:ind w:left="1440" w:hanging="720"/>
      </w:pPr>
      <w:r>
        <w:rPr>
          <w:rFonts w:ascii="Times New Roman" w:cs="Times New Roman" w:eastAsia="Times New Roman" w:hAnsi="Times New Roman"/>
          <w:sz w:val="24"/>
          <w:szCs w:val="24"/>
        </w:rPr>
        <w:t xml:space="preserve">52.2.	The deduction exceeded the 25% statutory maximum under section 34(2);</w:t>
      </w:r>
    </w:p>
    <w:p>
      <w:pPr>
        <w:tabs>
          <w:tab w:val="left" w:pos="1440"/>
        </w:tabs>
        <w:spacing w:line="360" w:lineRule="auto"/>
        <w:ind w:left="1440" w:hanging="720"/>
      </w:pPr>
      <w:r>
        <w:rPr>
          <w:rFonts w:ascii="Times New Roman" w:cs="Times New Roman" w:eastAsia="Times New Roman" w:hAnsi="Times New Roman"/>
          <w:sz w:val="24"/>
          <w:szCs w:val="24"/>
        </w:rPr>
        <w:t xml:space="preserve">52.3.	The Respondents failed to make reasonable accommodation for the Applicant's documented psychiatric disability, in contravention of the EEA and the principles affirmed in Solidarity obo Nel and Stobart;</w:t>
      </w:r>
    </w:p>
    <w:p>
      <w:pPr>
        <w:tabs>
          <w:tab w:val="left" w:pos="1440"/>
        </w:tabs>
        <w:spacing w:line="360" w:lineRule="auto"/>
        <w:ind w:left="1440" w:hanging="720"/>
      </w:pPr>
      <w:r>
        <w:rPr>
          <w:rFonts w:ascii="Times New Roman" w:cs="Times New Roman" w:eastAsia="Times New Roman" w:hAnsi="Times New Roman"/>
          <w:sz w:val="24"/>
          <w:szCs w:val="24"/>
        </w:rPr>
        <w:t xml:space="preserve">52.4.	The Respondents, through their management personnel acting within the course and scope of their employment, unlawfully misappropriated the Applicant's independently designed CPD Programme without consent, attribution, or compensation, in contravention of the principles affirmed in Payen Components and Faccenda Chicken; and</w:t>
      </w:r>
    </w:p>
    <w:p>
      <w:pPr>
        <w:tabs>
          <w:tab w:val="left" w:pos="1440"/>
        </w:tabs>
        <w:spacing w:line="360" w:lineRule="auto"/>
        <w:ind w:left="1440" w:hanging="720"/>
      </w:pPr>
      <w:r>
        <w:rPr>
          <w:rFonts w:ascii="Times New Roman" w:cs="Times New Roman" w:eastAsia="Times New Roman" w:hAnsi="Times New Roman"/>
          <w:sz w:val="24"/>
          <w:szCs w:val="24"/>
        </w:rPr>
        <w:t xml:space="preserve">52.5.	The Respondents are vicariously liable for all the above conduct pursuant to Minister of Finance v Gore and K v Minister of Safety and Security.</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53.	There are no material disputes of fact. The deduction is confirmed by the Respondents' own payslip documentation. The 25% cap is established by statute and by the Respondents' own policy. The Respondents' knowledge of the Applicant's disability is confirmed by Dr Malan's letter. The misappropriation is established by the April 2025 submission and the October 2025 departmental implementation. The matter is ripe for determination on the papers.</w:t>
      </w:r>
    </w:p>
    <w:p>
      <w:pPr>
        <w:spacing w:line="360" w:lineRule="auto"/>
      </w:pPr>
      <w:r>
        <w:rPr>
          <w:rFonts w:ascii="Times New Roman" w:cs="Times New Roman" w:eastAsia="Times New Roman" w:hAnsi="Times New Roman"/>
          <w:sz w:val="24"/>
          <w:szCs w:val="24"/>
        </w:rPr>
        <w:t xml:space="preserve"/>
      </w:r>
    </w:p>
    <w:p>
      <w:pPr>
        <w:tabs>
          <w:tab w:val="left" w:pos="720"/>
        </w:tabs>
        <w:spacing w:line="360" w:lineRule="auto"/>
        <w:ind w:left="720" w:hanging="720"/>
      </w:pPr>
      <w:r>
        <w:rPr>
          <w:rFonts w:ascii="Times New Roman" w:cs="Times New Roman" w:eastAsia="Times New Roman" w:hAnsi="Times New Roman"/>
          <w:sz w:val="24"/>
          <w:szCs w:val="24"/>
        </w:rPr>
        <w:t xml:space="preserve">54.	The Applicant accordingly prays for an order in terms of the Notice of Motion.</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jc w:val="center"/>
      </w:pPr>
      <w:r>
        <w:rPr>
          <w:rFonts w:ascii="Times New Roman" w:cs="Times New Roman" w:eastAsia="Times New Roman" w:hAnsi="Times New Roman"/>
          <w:sz w:val="24"/>
          <w:szCs w:val="24"/>
        </w:rPr>
        <w:t xml:space="preserve">───────────────────────────────────────────────────────</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Dated at Cape Town this ______ day of __________________ 2026.</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____________________________</w:t>
      </w:r>
    </w:p>
    <w:p>
      <w:pPr>
        <w:spacing w:line="360" w:lineRule="auto"/>
      </w:pPr>
      <w:r>
        <w:rPr>
          <w:rFonts w:ascii="Times New Roman" w:cs="Times New Roman" w:eastAsia="Times New Roman" w:hAnsi="Times New Roman"/>
          <w:b/>
          <w:bCs/>
          <w:sz w:val="24"/>
          <w:szCs w:val="24"/>
        </w:rPr>
        <w:t xml:space="preserve">WILBUR WILLIAM MATTHEE</w:t>
      </w:r>
    </w:p>
    <w:p>
      <w:pPr>
        <w:spacing w:line="360" w:lineRule="auto"/>
      </w:pPr>
      <w:r>
        <w:rPr>
          <w:rFonts w:ascii="Times New Roman" w:cs="Times New Roman" w:eastAsia="Times New Roman" w:hAnsi="Times New Roman"/>
          <w:sz w:val="24"/>
          <w:szCs w:val="24"/>
        </w:rPr>
        <w:t xml:space="preserve">Applicant in Person</w:t>
      </w:r>
    </w:p>
    <w:p>
      <w:pPr>
        <w:spacing w:line="360" w:lineRule="auto"/>
      </w:pPr>
      <w:r>
        <w:rPr>
          <w:rFonts w:ascii="Times New Roman" w:cs="Times New Roman" w:eastAsia="Times New Roman" w:hAnsi="Times New Roman"/>
          <w:sz w:val="24"/>
          <w:szCs w:val="24"/>
        </w:rPr>
        <w:t xml:space="preserve">EthicHawks Forensic Governance Consultancy</w:t>
      </w:r>
    </w:p>
    <w:p>
      <w:pPr>
        <w:spacing w:line="360" w:lineRule="auto"/>
      </w:pPr>
      <w:r>
        <w:rPr>
          <w:rFonts w:ascii="Times New Roman" w:cs="Times New Roman" w:eastAsia="Times New Roman" w:hAnsi="Times New Roman"/>
          <w:sz w:val="24"/>
          <w:szCs w:val="24"/>
        </w:rPr>
        <w:t xml:space="preserve">Email: info@ethichawks.co.za | wilburmat@gmail.com</w:t>
      </w:r>
    </w:p>
    <w:p>
      <w:pPr>
        <w:spacing w:line="360" w:lineRule="auto"/>
      </w:pPr>
      <w:r>
        <w:rPr>
          <w:rFonts w:ascii="Times New Roman" w:cs="Times New Roman" w:eastAsia="Times New Roman" w:hAnsi="Times New Roman"/>
          <w:sz w:val="24"/>
          <w:szCs w:val="24"/>
        </w:rPr>
        <w:t xml:space="preserve">Tel: 069 635 1435 / 063 378 8782</w:t>
      </w:r>
    </w:p>
    <w:p>
      <w:pPr>
        <w:spacing w:line="360" w:lineRule="auto"/>
      </w:pPr>
      <w:r>
        <w:rPr>
          <w:rFonts w:ascii="Times New Roman" w:cs="Times New Roman" w:eastAsia="Times New Roman" w:hAnsi="Times New Roman"/>
          <w:sz w:val="24"/>
          <w:szCs w:val="24"/>
        </w:rPr>
        <w:t xml:space="preserve">Address for service: 15 Bellevue Street, Voorbrug, Cape Town, 7100</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b/>
          <w:bCs/>
          <w:sz w:val="24"/>
          <w:szCs w:val="24"/>
        </w:rPr>
        <w:t xml:space="preserve">TO BE FILED AND SERVED UPON:</w:t>
      </w:r>
    </w:p>
    <w:p>
      <w:pPr>
        <w:spacing w:line="360" w:lineRule="auto"/>
      </w:pPr>
      <w:r>
        <w:rPr>
          <w:rFonts w:ascii="Times New Roman" w:cs="Times New Roman" w:eastAsia="Times New Roman" w:hAnsi="Times New Roman"/>
          <w:sz w:val="24"/>
          <w:szCs w:val="24"/>
        </w:rPr>
        <w:t xml:space="preserve">The Registrar of the Labour Court, Cape Town</w:t>
      </w:r>
    </w:p>
    <w:p>
      <w:pPr>
        <w:spacing w:line="360" w:lineRule="auto"/>
      </w:pPr>
      <w:r>
        <w:rPr>
          <w:rFonts w:ascii="Times New Roman" w:cs="Times New Roman" w:eastAsia="Times New Roman" w:hAnsi="Times New Roman"/>
          <w:sz w:val="24"/>
          <w:szCs w:val="24"/>
        </w:rPr>
        <w:t xml:space="preserve">The First Respondent at its registered address</w:t>
      </w:r>
    </w:p>
    <w:p>
      <w:pPr>
        <w:spacing w:line="360" w:lineRule="auto"/>
      </w:pPr>
      <w:r>
        <w:rPr>
          <w:rFonts w:ascii="Times New Roman" w:cs="Times New Roman" w:eastAsia="Times New Roman" w:hAnsi="Times New Roman"/>
          <w:sz w:val="24"/>
          <w:szCs w:val="24"/>
        </w:rPr>
        <w:t xml:space="preserve">The Second Respondent at its registered address</w:t>
      </w:r>
    </w:p>
    <w:sectPr>
      <w:headerReference w:type="default" r:id="rId7"/>
      <w:footerReference w:type="default" r:id="rId8"/>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8787"/>
      </w:tabs>
      <w:spacing w:before="80"/>
    </w:pPr>
    <w:r>
      <w:rPr>
        <w:rFonts w:ascii="Times New Roman" w:cs="Times New Roman" w:eastAsia="Times New Roman" w:hAnsi="Times New Roman"/>
        <w:i/>
        <w:iCs/>
        <w:sz w:val="20"/>
        <w:szCs w:val="20"/>
      </w:rPr>
      <w:t xml:space="preserve">Matthee v AfroCentric Health (RF) (Pty) Ltd &amp; Another</w:t>
    </w:r>
    <w:r>
      <w:rPr>
        <w:rFonts w:ascii="Times New Roman" w:cs="Times New Roman" w:eastAsia="Times New Roman" w:hAnsi="Times New Roman"/>
        <w:sz w:val="20"/>
        <w:szCs w:val="20"/>
      </w:rPr>
      <w:t xml:space="preserve">	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80"/>
    </w:pPr>
    <w:r>
      <w:rPr>
        <w:rFonts w:ascii="Times New Roman" w:cs="Times New Roman" w:eastAsia="Times New Roman" w:hAnsi="Times New Roman"/>
        <w:b/>
        <w:bCs/>
        <w:color w:val="1F3864"/>
        <w:sz w:val="20"/>
        <w:szCs w:val="20"/>
      </w:rPr>
      <w:t xml:space="preserve">LABOUR COURT OF SOUTH AFRICA – CAPE TOWN  |  AMENDED HEADS OF ARGUMENT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2026-04-06T08:45:21.957Z</dcterms:created>
  <dcterms:modified xsi:type="dcterms:W3CDTF">2026-04-06T08:45:21.958Z</dcterms:modified>
</cp:coreProperties>
</file>

<file path=docProps/custom.xml><?xml version="1.0" encoding="utf-8"?>
<Properties xmlns="http://schemas.openxmlformats.org/officeDocument/2006/custom-properties" xmlns:vt="http://schemas.openxmlformats.org/officeDocument/2006/docPropsVTypes"/>
</file>