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6"/>
          <w:szCs w:val="26"/>
        </w:rPr>
        <w:t xml:space="preserve">IN THE HIGH COURT OF SOUTH AFRICA</w:t>
      </w:r>
    </w:p>
    <w:p>
      <w:pPr>
        <w:spacing w:after="120"/>
        <w:jc w:val="center"/>
      </w:pPr>
      <w:r>
        <w:rPr>
          <w:rFonts w:ascii="Arial" w:cs="Arial" w:eastAsia="Arial" w:hAnsi="Arial"/>
          <w:b/>
          <w:bCs/>
          <w:sz w:val="26"/>
          <w:szCs w:val="26"/>
        </w:rPr>
        <w:t xml:space="preserve">(WESTERN CAPE DIVISION, CAPE TOWN)</w:t>
      </w:r>
    </w:p>
    <w:p>
      <w:pPr>
        <w:spacing w:after="120"/>
      </w:pPr>
      <w:r>
        <w:t xml:space="preserve"/>
      </w:r>
    </w:p>
    <w:p>
      <w:pPr>
        <w:spacing w:after="120"/>
        <w:jc w:val="center"/>
      </w:pPr>
      <w:r>
        <w:rPr>
          <w:rFonts w:ascii="Arial" w:cs="Arial" w:eastAsia="Arial" w:hAnsi="Arial"/>
          <w:sz w:val="24"/>
          <w:szCs w:val="24"/>
        </w:rPr>
        <w:t xml:space="preserve">Case No: ___________________________</w:t>
      </w:r>
    </w:p>
    <w:p>
      <w:pPr>
        <w:spacing w:after="120"/>
      </w:pPr>
      <w:r>
        <w:t xml:space="preserve"/>
      </w:r>
    </w:p>
    <w:p>
      <w:pPr>
        <w:spacing w:after="120"/>
        <w:jc w:val="center"/>
      </w:pPr>
      <w:r>
        <w:rPr>
          <w:rFonts w:ascii="Arial" w:cs="Arial" w:eastAsia="Arial" w:hAnsi="Arial"/>
          <w:b/>
          <w:bCs/>
          <w:sz w:val="24"/>
          <w:szCs w:val="24"/>
        </w:rPr>
        <w:t xml:space="preserve">WILBUR WILLIAM MATTHEE</w:t>
      </w:r>
      <w:r>
        <w:rPr>
          <w:rFonts w:ascii="Arial" w:cs="Arial" w:eastAsia="Arial" w:hAnsi="Arial"/>
          <w:sz w:val="24"/>
          <w:szCs w:val="24"/>
        </w:rPr>
        <w:t xml:space="preserve">			</w:t>
      </w:r>
      <w:r>
        <w:rPr>
          <w:rFonts w:ascii="Arial" w:cs="Arial" w:eastAsia="Arial" w:hAnsi="Arial"/>
          <w:b/>
          <w:bCs/>
          <w:sz w:val="24"/>
          <w:szCs w:val="24"/>
        </w:rPr>
        <w:t xml:space="preserve">Applicant</w:t>
      </w:r>
    </w:p>
    <w:p>
      <w:pPr>
        <w:spacing w:after="120"/>
        <w:jc w:val="center"/>
      </w:pPr>
      <w:r>
        <w:rPr>
          <w:rFonts w:ascii="Arial" w:cs="Arial" w:eastAsia="Arial" w:hAnsi="Arial"/>
          <w:sz w:val="24"/>
          <w:szCs w:val="24"/>
        </w:rPr>
        <w:t xml:space="preserve">and</w:t>
      </w:r>
    </w:p>
    <w:p>
      <w:pPr>
        <w:spacing w:after="120"/>
        <w:jc w:val="center"/>
      </w:pPr>
      <w:r>
        <w:rPr>
          <w:rFonts w:ascii="Arial" w:cs="Arial" w:eastAsia="Arial" w:hAnsi="Arial"/>
          <w:b/>
          <w:bCs/>
          <w:sz w:val="24"/>
          <w:szCs w:val="24"/>
        </w:rPr>
        <w:t xml:space="preserve">BRUNO FERNANDES &amp; OTHERS</w:t>
      </w:r>
      <w:r>
        <w:rPr>
          <w:rFonts w:ascii="Arial" w:cs="Arial" w:eastAsia="Arial" w:hAnsi="Arial"/>
          <w:sz w:val="24"/>
          <w:szCs w:val="24"/>
        </w:rPr>
        <w:t xml:space="preserve">			</w:t>
      </w:r>
      <w:r>
        <w:rPr>
          <w:rFonts w:ascii="Arial" w:cs="Arial" w:eastAsia="Arial" w:hAnsi="Arial"/>
          <w:b/>
          <w:bCs/>
          <w:sz w:val="24"/>
          <w:szCs w:val="24"/>
        </w:rPr>
        <w:t xml:space="preserve">Respondents</w:t>
      </w:r>
    </w:p>
    <w:p>
      <w:pPr>
        <w:spacing w:after="120"/>
      </w:pPr>
      <w:r>
        <w:t xml:space="preserve"/>
      </w:r>
    </w:p>
    <w:p>
      <w:pPr>
        <w:pBdr>
          <w:bottom w:val="single" w:color="1F3864" w:sz="4" w:space="4"/>
        </w:pBdr>
        <w:spacing w:after="160" w:before="160"/>
      </w:pPr>
    </w:p>
    <w:p>
      <w:pPr>
        <w:spacing w:after="120"/>
        <w:jc w:val="center"/>
      </w:pPr>
      <w:r>
        <w:rPr>
          <w:rFonts w:ascii="Arial" w:cs="Arial" w:eastAsia="Arial" w:hAnsi="Arial"/>
          <w:b/>
          <w:bCs/>
          <w:sz w:val="28"/>
          <w:szCs w:val="28"/>
        </w:rPr>
        <w:t xml:space="preserve">PRACTICE NOTE IN TERMS OF RULE 6(5)(d)(iii)</w:t>
      </w:r>
    </w:p>
    <w:p>
      <w:pPr>
        <w:spacing w:after="120"/>
        <w:jc w:val="center"/>
      </w:pPr>
      <w:r>
        <w:rPr>
          <w:rFonts w:ascii="Arial" w:cs="Arial" w:eastAsia="Arial" w:hAnsi="Arial"/>
          <w:i/>
          <w:iCs/>
          <w:sz w:val="24"/>
          <w:szCs w:val="24"/>
        </w:rPr>
        <w:t xml:space="preserve">Section 162 Delinquency Application | Western Cape High Court</w:t>
      </w:r>
    </w:p>
    <w:p>
      <w:pPr>
        <w:pBdr>
          <w:bottom w:val="single" w:color="1F3864" w:sz="4" w:space="4"/>
        </w:pBdr>
        <w:spacing w:after="160" w:before="160"/>
      </w:pPr>
    </w:p>
    <w:p>
      <w:pPr>
        <w:spacing w:after="120"/>
      </w:pPr>
      <w:r>
        <w:t xml:space="preserve"/>
      </w:r>
    </w:p>
    <w:p>
      <w:pPr>
        <w:pBdr>
          <w:bottom w:val="single" w:color="1F3864" w:sz="6" w:space="1"/>
        </w:pBdr>
        <w:spacing w:before="280" w:after="140"/>
      </w:pPr>
      <w:r>
        <w:rPr>
          <w:rFonts w:ascii="Arial" w:cs="Arial" w:eastAsia="Arial" w:hAnsi="Arial"/>
          <w:b/>
          <w:bCs/>
          <w:caps/>
          <w:sz w:val="28"/>
          <w:szCs w:val="28"/>
        </w:rPr>
        <w:t xml:space="preserve">1. NATURE OF THE APPLICATION</w:t>
      </w:r>
    </w:p>
    <w:p>
      <w:pPr>
        <w:spacing w:after="120" w:before="60"/>
        <w:ind w:left="360" w:hanging="360"/>
      </w:pPr>
      <w:r>
        <w:rPr>
          <w:rFonts w:ascii="Arial" w:cs="Arial" w:eastAsia="Arial" w:hAnsi="Arial"/>
          <w:b/>
          <w:bCs/>
          <w:sz w:val="24"/>
          <w:szCs w:val="24"/>
        </w:rPr>
        <w:t xml:space="preserve">1.1</w:t>
      </w:r>
      <w:r>
        <w:rPr>
          <w:rFonts w:ascii="Arial" w:cs="Arial" w:eastAsia="Arial" w:hAnsi="Arial"/>
          <w:sz w:val="24"/>
          <w:szCs w:val="24"/>
        </w:rPr>
        <w:t xml:space="preserve">	This is an urgent application in terms of Rule 6(12) of the Uniform Rules of Court for an order declaring the First to Fifth Respondents delinquent directors and officers in terms of Section 162 of the Companies Act 71 of 2008 ("the Act"), alternatively placing them under probation, together with consequential relief including damages and costs on the punitive scale.</w:t>
      </w:r>
    </w:p>
    <w:p>
      <w:pPr>
        <w:spacing w:after="120" w:before="60"/>
        <w:ind w:left="360" w:hanging="360"/>
      </w:pPr>
      <w:r>
        <w:rPr>
          <w:rFonts w:ascii="Arial" w:cs="Arial" w:eastAsia="Arial" w:hAnsi="Arial"/>
          <w:b/>
          <w:bCs/>
          <w:sz w:val="24"/>
          <w:szCs w:val="24"/>
        </w:rPr>
        <w:t xml:space="preserve">1.2</w:t>
      </w:r>
      <w:r>
        <w:rPr>
          <w:rFonts w:ascii="Arial" w:cs="Arial" w:eastAsia="Arial" w:hAnsi="Arial"/>
          <w:sz w:val="24"/>
          <w:szCs w:val="24"/>
        </w:rPr>
        <w:t xml:space="preserve">	The application arises from the Respondents' complete failure to act upon a formally escalated Priority 1 Material Risk Report delivered on 9 December 2025, which placed each named Respondent on express individual notice of ongoing discrimination, victimisation, an unlawful payroll deduction, and imminent regulatory and litigation exposure — including explicit notification of personal director liability under Section 60 of the Employment Equity Act 55 of 1998 ("the EEA").</w:t>
      </w:r>
    </w:p>
    <w:p>
      <w:pPr>
        <w:spacing w:after="120" w:before="60"/>
        <w:ind w:left="360" w:hanging="360"/>
      </w:pPr>
      <w:r>
        <w:rPr>
          <w:rFonts w:ascii="Arial" w:cs="Arial" w:eastAsia="Arial" w:hAnsi="Arial"/>
          <w:b/>
          <w:bCs/>
          <w:sz w:val="24"/>
          <w:szCs w:val="24"/>
        </w:rPr>
        <w:t xml:space="preserve">1.3</w:t>
      </w:r>
      <w:r>
        <w:rPr>
          <w:rFonts w:ascii="Arial" w:cs="Arial" w:eastAsia="Arial" w:hAnsi="Arial"/>
          <w:sz w:val="24"/>
          <w:szCs w:val="24"/>
        </w:rPr>
        <w:t xml:space="preserve">	The application is brought in the Applicant's capacity as a shareholder of AfroCentric Investment Corporation Limited (Registration No. 1988/000570/06) (JSE: ACT) ("the Company") in terms of Section 162(2) of the Act. The Applicant holds shares in the Company as documented in Annexure "A". The conduct of the individual Respondents, as directors and officers of the Company, exposed the Company to material regulatory, legal, financial, and reputational risk — risks of which they were individually and formally notified, and which they individually and collectively failed to address.</w:t>
      </w:r>
    </w:p>
    <w:p>
      <w:pPr>
        <w:spacing w:after="120"/>
      </w:pPr>
      <w:r>
        <w:t xml:space="preserve"/>
      </w:r>
    </w:p>
    <w:p>
      <w:pPr>
        <w:pBdr>
          <w:bottom w:val="single" w:color="1F3864" w:sz="6" w:space="1"/>
        </w:pBdr>
        <w:spacing w:before="280" w:after="140"/>
      </w:pPr>
      <w:r>
        <w:rPr>
          <w:rFonts w:ascii="Arial" w:cs="Arial" w:eastAsia="Arial" w:hAnsi="Arial"/>
          <w:b/>
          <w:bCs/>
          <w:caps/>
          <w:sz w:val="28"/>
          <w:szCs w:val="28"/>
        </w:rPr>
        <w:t xml:space="preserve">2. ISSUES FOR DETERMINATION</w:t>
      </w:r>
    </w:p>
    <w:p>
      <w:pPr>
        <w:spacing w:after="120" w:before="60"/>
      </w:pPr>
      <w:r>
        <w:rPr>
          <w:rFonts w:ascii="Arial" w:cs="Arial" w:eastAsia="Arial" w:hAnsi="Arial"/>
          <w:sz w:val="24"/>
          <w:szCs w:val="24"/>
        </w:rPr>
        <w:t xml:space="preserve">The following primary issues arise for determination:</w:t>
      </w:r>
    </w:p>
    <w:p>
      <w:pPr>
        <w:spacing w:after="120" w:before="60"/>
        <w:ind w:left="360" w:hanging="360"/>
      </w:pPr>
      <w:r>
        <w:rPr>
          <w:rFonts w:ascii="Arial" w:cs="Arial" w:eastAsia="Arial" w:hAnsi="Arial"/>
          <w:b/>
          <w:bCs/>
          <w:sz w:val="24"/>
          <w:szCs w:val="24"/>
        </w:rPr>
        <w:t xml:space="preserve">2.1</w:t>
      </w:r>
      <w:r>
        <w:rPr>
          <w:rFonts w:ascii="Arial" w:cs="Arial" w:eastAsia="Arial" w:hAnsi="Arial"/>
          <w:sz w:val="24"/>
          <w:szCs w:val="24"/>
        </w:rPr>
        <w:t xml:space="preserve">	Whether the individual Respondents, having received formal written notification of alleged discriminatory and retaliatory conduct in terms of Section 60(1) of the EEA, failed to take the steps required by Section 60(2) of the EEA, thereby triggering the deemed contravention under Section 60(3);</w:t>
      </w:r>
    </w:p>
    <w:p>
      <w:pPr>
        <w:spacing w:after="120" w:before="60"/>
        <w:ind w:left="360" w:hanging="360"/>
      </w:pPr>
      <w:r>
        <w:rPr>
          <w:rFonts w:ascii="Arial" w:cs="Arial" w:eastAsia="Arial" w:hAnsi="Arial"/>
          <w:b/>
          <w:bCs/>
          <w:sz w:val="24"/>
          <w:szCs w:val="24"/>
        </w:rPr>
        <w:t xml:space="preserve">2.2</w:t>
      </w:r>
      <w:r>
        <w:rPr>
          <w:rFonts w:ascii="Arial" w:cs="Arial" w:eastAsia="Arial" w:hAnsi="Arial"/>
          <w:sz w:val="24"/>
          <w:szCs w:val="24"/>
        </w:rPr>
        <w:t xml:space="preserve">	Whether that deemed contravention, committed by directors and officers in the course of managing the affairs of a JSE-listed public company, constitutes gross negligence or wilful misconduct within the meaning of Section 162(5)(c) and/or Section 162(5)(d) of the Act;</w:t>
      </w:r>
    </w:p>
    <w:p>
      <w:pPr>
        <w:spacing w:after="120" w:before="60"/>
        <w:ind w:left="360" w:hanging="360"/>
      </w:pPr>
      <w:r>
        <w:rPr>
          <w:rFonts w:ascii="Arial" w:cs="Arial" w:eastAsia="Arial" w:hAnsi="Arial"/>
          <w:b/>
          <w:bCs/>
          <w:sz w:val="24"/>
          <w:szCs w:val="24"/>
        </w:rPr>
        <w:t xml:space="preserve">2.3</w:t>
      </w:r>
      <w:r>
        <w:rPr>
          <w:rFonts w:ascii="Arial" w:cs="Arial" w:eastAsia="Arial" w:hAnsi="Arial"/>
          <w:sz w:val="24"/>
          <w:szCs w:val="24"/>
        </w:rPr>
        <w:t xml:space="preserve">	Whether the governance bridge between the employment relationship (Medscheme Holdings (Pty) Ltd as employer) and the holding company (AfroCentric Investment Corporation Limited) is established by the individual Respondents' receipt of the P1 Material Risk Report in their capacities as directors and officers of the listed holding company, thereby making the subsidiary's EEA contravention a governance failure at holding company board level;</w:t>
      </w:r>
    </w:p>
    <w:p>
      <w:pPr>
        <w:spacing w:after="120" w:before="60"/>
        <w:ind w:left="360" w:hanging="360"/>
      </w:pPr>
      <w:r>
        <w:rPr>
          <w:rFonts w:ascii="Arial" w:cs="Arial" w:eastAsia="Arial" w:hAnsi="Arial"/>
          <w:b/>
          <w:bCs/>
          <w:sz w:val="24"/>
          <w:szCs w:val="24"/>
        </w:rPr>
        <w:t xml:space="preserve">2.4</w:t>
      </w:r>
      <w:r>
        <w:rPr>
          <w:rFonts w:ascii="Arial" w:cs="Arial" w:eastAsia="Arial" w:hAnsi="Arial"/>
          <w:sz w:val="24"/>
          <w:szCs w:val="24"/>
        </w:rPr>
        <w:t xml:space="preserve">	Whether the active suppression of a Priority 1 governance escalation by the Chief Risk Officer — documented in writing on 18 December 2025 — constitutes an independent act of wilful misconduct by an officer of the company, engaging Section 162(2)(d) in respect of the Fifth Respondent;</w:t>
      </w:r>
    </w:p>
    <w:p>
      <w:pPr>
        <w:spacing w:after="120" w:before="60"/>
        <w:ind w:left="360" w:hanging="360"/>
      </w:pPr>
      <w:r>
        <w:rPr>
          <w:rFonts w:ascii="Arial" w:cs="Arial" w:eastAsia="Arial" w:hAnsi="Arial"/>
          <w:b/>
          <w:bCs/>
          <w:sz w:val="24"/>
          <w:szCs w:val="24"/>
        </w:rPr>
        <w:t xml:space="preserve">2.5</w:t>
      </w:r>
      <w:r>
        <w:rPr>
          <w:rFonts w:ascii="Arial" w:cs="Arial" w:eastAsia="Arial" w:hAnsi="Arial"/>
          <w:sz w:val="24"/>
          <w:szCs w:val="24"/>
        </w:rPr>
        <w:t xml:space="preserve">	Whether the pattern of institutional silence across nine formal escalations spanning 9 December 2025 to 14 March 2026, in circumstances where each Respondent had been individually notified of both the underlying conduct and the statutory consequences of inaction, constitutes reckless conduct in the management of the company's affairs; and</w:t>
      </w:r>
    </w:p>
    <w:p>
      <w:pPr>
        <w:spacing w:after="120" w:before="60"/>
        <w:ind w:left="360" w:hanging="360"/>
      </w:pPr>
      <w:r>
        <w:rPr>
          <w:rFonts w:ascii="Arial" w:cs="Arial" w:eastAsia="Arial" w:hAnsi="Arial"/>
          <w:b/>
          <w:bCs/>
          <w:sz w:val="24"/>
          <w:szCs w:val="24"/>
        </w:rPr>
        <w:t xml:space="preserve">2.6</w:t>
      </w:r>
      <w:r>
        <w:rPr>
          <w:rFonts w:ascii="Arial" w:cs="Arial" w:eastAsia="Arial" w:hAnsi="Arial"/>
          <w:sz w:val="24"/>
          <w:szCs w:val="24"/>
        </w:rPr>
        <w:t xml:space="preserve">	Whether the Applicant has suffered direct, causally linked harm flowing from the Respondents' failure to act, including financial loss, debt spiral, exposure to predatory lending, confirmed eviction, lapse of professional registration, and psychiatric harm, such that consequential damages are recoverable jointly and severally against the individual Respondents.</w:t>
      </w:r>
    </w:p>
    <w:p>
      <w:pPr>
        <w:spacing w:after="120"/>
      </w:pPr>
      <w:r>
        <w:t xml:space="preserve"/>
      </w:r>
    </w:p>
    <w:p>
      <w:pPr>
        <w:pBdr>
          <w:bottom w:val="single" w:color="1F3864" w:sz="6" w:space="1"/>
        </w:pBdr>
        <w:spacing w:before="280" w:after="140"/>
      </w:pPr>
      <w:r>
        <w:rPr>
          <w:rFonts w:ascii="Arial" w:cs="Arial" w:eastAsia="Arial" w:hAnsi="Arial"/>
          <w:b/>
          <w:bCs/>
          <w:caps/>
          <w:sz w:val="28"/>
          <w:szCs w:val="28"/>
        </w:rPr>
        <w:t xml:space="preserve">3. THE GOVERNANCE BRIDGE — HOLDING COMPANY LIABILITY</w:t>
      </w:r>
    </w:p>
    <w:p>
      <w:pPr>
        <w:spacing w:after="120" w:before="60"/>
      </w:pPr>
      <w:r>
        <w:rPr>
          <w:rFonts w:ascii="Arial" w:cs="Arial" w:eastAsia="Arial" w:hAnsi="Arial"/>
          <w:sz w:val="24"/>
          <w:szCs w:val="24"/>
        </w:rPr>
        <w:t xml:space="preserve">This section addresses the jurisdictional and structural argument that connects the employment-level EEA contravention to the holding company directors' delinquency under Section 162.</w:t>
      </w:r>
    </w:p>
    <w:p>
      <w:pPr>
        <w:spacing w:after="120" w:before="60"/>
        <w:ind w:left="360" w:hanging="360"/>
      </w:pPr>
      <w:r>
        <w:rPr>
          <w:rFonts w:ascii="Arial" w:cs="Arial" w:eastAsia="Arial" w:hAnsi="Arial"/>
          <w:b/>
          <w:bCs/>
          <w:sz w:val="24"/>
          <w:szCs w:val="24"/>
        </w:rPr>
        <w:t xml:space="preserve">3.1</w:t>
      </w:r>
      <w:r>
        <w:rPr>
          <w:rFonts w:ascii="Arial" w:cs="Arial" w:eastAsia="Arial" w:hAnsi="Arial"/>
          <w:sz w:val="24"/>
          <w:szCs w:val="24"/>
        </w:rPr>
        <w:t xml:space="preserve">	The employment relationship that gave rise to the underlying conduct was with Medscheme Holdings (Pty) Ltd, a wholly owned subsidiary of the Sixth Respondent, AfroCentric Investment Corporation Limited. The individual Respondents are directors and officers of the holding company, not the employing subsidiary.</w:t>
      </w:r>
    </w:p>
    <w:p>
      <w:pPr>
        <w:spacing w:after="120" w:before="60"/>
        <w:ind w:left="360" w:hanging="360"/>
      </w:pPr>
      <w:r>
        <w:rPr>
          <w:rFonts w:ascii="Arial" w:cs="Arial" w:eastAsia="Arial" w:hAnsi="Arial"/>
          <w:b/>
          <w:bCs/>
          <w:sz w:val="24"/>
          <w:szCs w:val="24"/>
        </w:rPr>
        <w:t xml:space="preserve">3.2</w:t>
      </w:r>
      <w:r>
        <w:rPr>
          <w:rFonts w:ascii="Arial" w:cs="Arial" w:eastAsia="Arial" w:hAnsi="Arial"/>
          <w:sz w:val="24"/>
          <w:szCs w:val="24"/>
        </w:rPr>
        <w:t xml:space="preserve">	The governance bridge is established by the following facts, each of which is documented in the Founding Affidavit and its annexures:</w:t>
      </w:r>
    </w:p>
    <w:p>
      <w:pPr>
        <w:spacing w:after="100" w:before="60"/>
        <w:ind w:left="360"/>
      </w:pPr>
      <w:r>
        <w:rPr>
          <w:rFonts w:ascii="Arial" w:cs="Arial" w:eastAsia="Arial" w:hAnsi="Arial"/>
          <w:sz w:val="24"/>
          <w:szCs w:val="24"/>
        </w:rPr>
        <w:t xml:space="preserve">3.2.1	The P1 Material Risk Report of 9 December 2025 was addressed and delivered directly to the First, Second, Third and Fifth Respondents in their individual capacities as board-level oversight structures of AfroCentric Investment Corporation Limited — not as managers of Medscheme Holdings. The First Respondent received it as Lead Independent Director of the holding company. The Second Respondent received it as Chairperson of the Social and Ethics Committee of the holding company. The Third Respondent received it as Chairperson of the Audit and Risk Committee of the holding company. The Fifth Respondent received it as Group Company Secretary of the holding company.</w:t>
      </w:r>
    </w:p>
    <w:p>
      <w:pPr>
        <w:spacing w:after="100" w:before="60"/>
        <w:ind w:left="360"/>
      </w:pPr>
      <w:r>
        <w:rPr>
          <w:rFonts w:ascii="Arial" w:cs="Arial" w:eastAsia="Arial" w:hAnsi="Arial"/>
          <w:sz w:val="24"/>
          <w:szCs w:val="24"/>
        </w:rPr>
        <w:t xml:space="preserve">3.2.2	The P1 report explicitly placed the material risk within the governance oversight mandate of each recipient. It was not a line management complaint addressed to HR. It was a formal, structured governance escalation addressed to the most senior oversight structures of the listed entity, with 38 evidentiary attachments, framed in the language of King IV, Section 76 of the Act, and Section 60 of the EEA.</w:t>
      </w:r>
    </w:p>
    <w:p>
      <w:pPr>
        <w:spacing w:after="100" w:before="60"/>
        <w:ind w:left="360"/>
      </w:pPr>
      <w:r>
        <w:rPr>
          <w:rFonts w:ascii="Arial" w:cs="Arial" w:eastAsia="Arial" w:hAnsi="Arial"/>
          <w:sz w:val="24"/>
          <w:szCs w:val="24"/>
        </w:rPr>
        <w:t xml:space="preserve">3.2.3	The duty that arose upon receipt of the P1 report was a board-level governance duty of AfroCentric Investment Corporation Limited. The directors of a holding company who receive a formal risk escalation documenting EEA violations, unlawful payroll conduct, and imminent regulatory exposure in a wholly owned subsidiary have a duty under Section 76 of the Act to exercise the care, skill and diligence reasonably expected of a person in that position. Their failure to do so is a failure in the management of the holding company's affairs.</w:t>
      </w:r>
    </w:p>
    <w:p>
      <w:pPr>
        <w:spacing w:after="100" w:before="60"/>
        <w:ind w:left="360"/>
      </w:pPr>
      <w:r>
        <w:rPr>
          <w:rFonts w:ascii="Arial" w:cs="Arial" w:eastAsia="Arial" w:hAnsi="Arial"/>
          <w:sz w:val="24"/>
          <w:szCs w:val="24"/>
        </w:rPr>
        <w:t xml:space="preserve">3.2.4	The financial, reputational, and regulatory risks documented in the P1 report — including a potential B-BBEE fine of approximately R580,000,000 (10% of annual group turnover), confirmed litigation risk, and reputational harm to a JSE-listed entity — are risks that directly affect AfroCentric Investment Corporation Limited as the listed holding company. Failure by its directors to respond to those risks is delinquency in the management of that company's affairs, not merely a subsidiary employment matter.</w:t>
      </w:r>
    </w:p>
    <w:p>
      <w:pPr>
        <w:spacing w:after="120" w:before="60"/>
        <w:ind w:left="360" w:hanging="360"/>
      </w:pPr>
      <w:r>
        <w:rPr>
          <w:rFonts w:ascii="Arial" w:cs="Arial" w:eastAsia="Arial" w:hAnsi="Arial"/>
          <w:b/>
          <w:bCs/>
          <w:sz w:val="24"/>
          <w:szCs w:val="24"/>
        </w:rPr>
        <w:t xml:space="preserve">3.3</w:t>
      </w:r>
      <w:r>
        <w:rPr>
          <w:rFonts w:ascii="Arial" w:cs="Arial" w:eastAsia="Arial" w:hAnsi="Arial"/>
          <w:sz w:val="24"/>
          <w:szCs w:val="24"/>
        </w:rPr>
        <w:t xml:space="preserve">	The Applicant submits that the governance bridge is fully established on the papers, and that each named Respondent's failure to act constitutes delinquency in their capacity as director or officer of AfroCentric Investment Corporation Limited.</w:t>
      </w:r>
    </w:p>
    <w:p>
      <w:pPr>
        <w:spacing w:after="120"/>
      </w:pPr>
      <w:r>
        <w:t xml:space="preserve"/>
      </w:r>
    </w:p>
    <w:p>
      <w:pPr>
        <w:pBdr>
          <w:bottom w:val="single" w:color="1F3864" w:sz="6" w:space="1"/>
        </w:pBdr>
        <w:spacing w:before="280" w:after="140"/>
      </w:pPr>
      <w:r>
        <w:rPr>
          <w:rFonts w:ascii="Arial" w:cs="Arial" w:eastAsia="Arial" w:hAnsi="Arial"/>
          <w:b/>
          <w:bCs/>
          <w:caps/>
          <w:sz w:val="28"/>
          <w:szCs w:val="28"/>
        </w:rPr>
        <w:t xml:space="preserve">4. SECTION 60 EEA — PRIMARY STANDALONE GROUND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BF3FB" w:val="clear"/>
            <w:tcMar>
              <w:top w:type="dxa" w:w="160"/>
              <w:left w:type="dxa" w:w="200"/>
              <w:bottom w:type="dxa" w:w="160"/>
              <w:right w:type="dxa" w:w="200"/>
            </w:tcMar>
          </w:tcPr>
          <w:p>
            <w:pPr>
              <w:spacing w:after="80"/>
            </w:pPr>
            <w:r>
              <w:rPr>
                <w:rFonts w:ascii="Arial" w:cs="Arial" w:eastAsia="Arial" w:hAnsi="Arial"/>
                <w:b/>
                <w:bCs/>
                <w:sz w:val="24"/>
                <w:szCs w:val="24"/>
              </w:rPr>
              <w:t xml:space="preserve">CORE SUBMISSION</w:t>
            </w:r>
          </w:p>
          <w:p>
            <w:pPr>
              <w:spacing w:after="0"/>
            </w:pPr>
            <w:r>
              <w:rPr>
                <w:rFonts w:ascii="Arial" w:cs="Arial" w:eastAsia="Arial" w:hAnsi="Arial"/>
                <w:sz w:val="24"/>
                <w:szCs w:val="24"/>
              </w:rPr>
              <w:t xml:space="preserve">Section 60 of the Employment Equity Act 55 of 1998, read with the documented receipt of the P1 Material Risk Report by each named Respondent, constitutes a self-standing and primary statutory ground for the Section 162 delinquency finding sought — independent of and supplementary to the common law and Companies Act grounds. It converts the Respondents' inaction from an evaluative governance question into a statutory deemed contravention, reverses the burden of proof, and eliminates any defence of ignorance.</w:t>
            </w:r>
          </w:p>
        </w:tc>
      </w:tr>
    </w:tbl>
    <w:p>
      <w:pPr>
        <w:spacing w:after="120"/>
      </w:pPr>
      <w:r>
        <w:t xml:space="preserve"/>
      </w:r>
    </w:p>
    <w:p>
      <w:pPr>
        <w:spacing w:after="120" w:before="60"/>
        <w:ind w:left="360" w:hanging="360"/>
      </w:pPr>
      <w:r>
        <w:rPr>
          <w:rFonts w:ascii="Arial" w:cs="Arial" w:eastAsia="Arial" w:hAnsi="Arial"/>
          <w:b/>
          <w:bCs/>
          <w:sz w:val="24"/>
          <w:szCs w:val="24"/>
        </w:rPr>
        <w:t xml:space="preserve">4.1</w:t>
      </w:r>
      <w:r>
        <w:rPr>
          <w:rFonts w:ascii="Arial" w:cs="Arial" w:eastAsia="Arial" w:hAnsi="Arial"/>
          <w:sz w:val="24"/>
          <w:szCs w:val="24"/>
        </w:rPr>
        <w:t xml:space="preserve">	The Section 60 mechanism operates through four sequential statutory steps, each of which is fully established on the papers: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60"/>
              <w:left w:type="dxa" w:w="200"/>
              <w:bottom w:type="dxa" w:w="160"/>
              <w:right w:type="dxa" w:w="200"/>
            </w:tcMar>
          </w:tcPr>
          <w:p>
            <w:pPr>
              <w:spacing w:after="80"/>
            </w:pPr>
            <w:r>
              <w:rPr>
                <w:rFonts w:ascii="Arial" w:cs="Arial" w:eastAsia="Arial" w:hAnsi="Arial"/>
                <w:b/>
                <w:bCs/>
                <w:sz w:val="24"/>
                <w:szCs w:val="24"/>
              </w:rPr>
              <w:t xml:space="preserve">STEP 1 — Section 60(1): Notification</w:t>
            </w:r>
          </w:p>
          <w:p>
            <w:pPr>
              <w:spacing w:after="80"/>
            </w:pPr>
            <w:r>
              <w:rPr>
                <w:rFonts w:ascii="Arial" w:cs="Arial" w:eastAsia="Arial" w:hAnsi="Arial"/>
                <w:sz w:val="24"/>
                <w:szCs w:val="24"/>
              </w:rPr>
              <w:t xml:space="preserve">When alleged discriminatory or unfair conduct is brought to the attention of the employer, a statutory duty to act is triggered.</w:t>
            </w:r>
          </w:p>
          <w:p>
            <w:pPr>
              <w:spacing w:after="0"/>
            </w:pPr>
            <w:r>
              <w:rPr>
                <w:rFonts w:ascii="Arial" w:cs="Arial" w:eastAsia="Arial" w:hAnsi="Arial"/>
                <w:b/>
                <w:bCs/>
                <w:sz w:val="24"/>
                <w:szCs w:val="24"/>
              </w:rPr>
              <w:t xml:space="preserve">Status: ESTABLISHED. </w:t>
            </w:r>
            <w:r>
              <w:rPr>
                <w:rFonts w:ascii="Arial" w:cs="Arial" w:eastAsia="Arial" w:hAnsi="Arial"/>
                <w:sz w:val="24"/>
                <w:szCs w:val="24"/>
              </w:rPr>
              <w:t xml:space="preserve">The P1 Material Risk Report of 9 December 2025 (Annexure "C") constitutes this notification. It was delivered directly to named board-level oversight structures of the Sixth Respondent with 38 evidentiary attachments documenting discrimination, victimisation, unlawful payroll deduction, and 30 days of institutional silence on formal grievances.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60"/>
              <w:left w:type="dxa" w:w="200"/>
              <w:bottom w:type="dxa" w:w="160"/>
              <w:right w:type="dxa" w:w="200"/>
            </w:tcMar>
          </w:tcPr>
          <w:p>
            <w:pPr>
              <w:spacing w:after="80"/>
            </w:pPr>
            <w:r>
              <w:rPr>
                <w:rFonts w:ascii="Arial" w:cs="Arial" w:eastAsia="Arial" w:hAnsi="Arial"/>
                <w:b/>
                <w:bCs/>
                <w:sz w:val="24"/>
                <w:szCs w:val="24"/>
              </w:rPr>
              <w:t xml:space="preserve">STEP 2 — Section 60(2): The Duty to Act</w:t>
            </w:r>
          </w:p>
          <w:p>
            <w:pPr>
              <w:spacing w:after="80"/>
            </w:pPr>
            <w:r>
              <w:rPr>
                <w:rFonts w:ascii="Arial" w:cs="Arial" w:eastAsia="Arial" w:hAnsi="Arial"/>
                <w:sz w:val="24"/>
                <w:szCs w:val="24"/>
              </w:rPr>
              <w:t xml:space="preserve">The employer must consult all relevant parties and take the necessary steps to eliminate the alleged conduct and comply with the Act. This obligation is not discretionary.</w:t>
            </w:r>
          </w:p>
          <w:p>
            <w:pPr>
              <w:spacing w:after="0"/>
            </w:pPr>
            <w:r>
              <w:rPr>
                <w:rFonts w:ascii="Arial" w:cs="Arial" w:eastAsia="Arial" w:hAnsi="Arial"/>
                <w:b/>
                <w:bCs/>
                <w:sz w:val="24"/>
                <w:szCs w:val="24"/>
              </w:rPr>
              <w:t xml:space="preserve">Status: DUTY ATTACHED. </w:t>
            </w:r>
            <w:r>
              <w:rPr>
                <w:rFonts w:ascii="Arial" w:cs="Arial" w:eastAsia="Arial" w:hAnsi="Arial"/>
                <w:sz w:val="24"/>
                <w:szCs w:val="24"/>
              </w:rPr>
              <w:t xml:space="preserve">The duty attached automatically to each named Respondent upon receipt of Annexure "C" on 9 December 2025. It was not delegable to management. It was not deferrable. It required action.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60"/>
              <w:left w:type="dxa" w:w="200"/>
              <w:bottom w:type="dxa" w:w="160"/>
              <w:right w:type="dxa" w:w="200"/>
            </w:tcMar>
          </w:tcPr>
          <w:p>
            <w:pPr>
              <w:spacing w:after="80"/>
            </w:pPr>
            <w:r>
              <w:rPr>
                <w:rFonts w:ascii="Arial" w:cs="Arial" w:eastAsia="Arial" w:hAnsi="Arial"/>
                <w:b/>
                <w:bCs/>
                <w:sz w:val="24"/>
                <w:szCs w:val="24"/>
              </w:rPr>
              <w:t xml:space="preserve">STEP 3 — Section 60(3): Deemed Contravention</w:t>
            </w:r>
          </w:p>
          <w:p>
            <w:pPr>
              <w:spacing w:after="80"/>
            </w:pPr>
            <w:r>
              <w:rPr>
                <w:rFonts w:ascii="Arial" w:cs="Arial" w:eastAsia="Arial" w:hAnsi="Arial"/>
                <w:sz w:val="24"/>
                <w:szCs w:val="24"/>
              </w:rPr>
              <w:t xml:space="preserve">If the employer fails to take the necessary steps, the employer is deemed to have contravened the EEA. No proof of intent is required. Proof of notification + failure to act = deemed contravention by operation of statute.</w:t>
            </w:r>
          </w:p>
          <w:p>
            <w:pPr>
              <w:spacing w:after="0"/>
            </w:pPr>
            <w:r>
              <w:rPr>
                <w:rFonts w:ascii="Arial" w:cs="Arial" w:eastAsia="Arial" w:hAnsi="Arial"/>
                <w:b/>
                <w:bCs/>
                <w:sz w:val="24"/>
                <w:szCs w:val="24"/>
              </w:rPr>
              <w:t xml:space="preserve">Status: DEEMED CONTRAVENTION ESTABLISHED. </w:t>
            </w:r>
            <w:r>
              <w:rPr>
                <w:rFonts w:ascii="Arial" w:cs="Arial" w:eastAsia="Arial" w:hAnsi="Arial"/>
                <w:sz w:val="24"/>
                <w:szCs w:val="24"/>
              </w:rPr>
              <w:t xml:space="preserve">Nine formal escalations across three months (9 December 2025 to 14 March 2026), documented in Annexure "G", each met with silence or active suppression, establish the failure to act beyond any evidential doubt.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60"/>
              <w:left w:type="dxa" w:w="200"/>
              <w:bottom w:type="dxa" w:w="160"/>
              <w:right w:type="dxa" w:w="200"/>
            </w:tcMar>
          </w:tcPr>
          <w:p>
            <w:pPr>
              <w:spacing w:after="80"/>
            </w:pPr>
            <w:r>
              <w:rPr>
                <w:rFonts w:ascii="Arial" w:cs="Arial" w:eastAsia="Arial" w:hAnsi="Arial"/>
                <w:b/>
                <w:bCs/>
                <w:sz w:val="24"/>
                <w:szCs w:val="24"/>
              </w:rPr>
              <w:t xml:space="preserve">STEP 4 — Section 60(4): Reversed Burden</w:t>
            </w:r>
          </w:p>
          <w:p>
            <w:pPr>
              <w:spacing w:after="80"/>
            </w:pPr>
            <w:r>
              <w:rPr>
                <w:rFonts w:ascii="Arial" w:cs="Arial" w:eastAsia="Arial" w:hAnsi="Arial"/>
                <w:sz w:val="24"/>
                <w:szCs w:val="24"/>
              </w:rPr>
              <w:t xml:space="preserve">The employer must prove it did all that was reasonably practicable to ensure compliance.</w:t>
            </w:r>
          </w:p>
          <w:p>
            <w:pPr>
              <w:spacing w:after="0"/>
            </w:pPr>
            <w:r>
              <w:rPr>
                <w:rFonts w:ascii="Arial" w:cs="Arial" w:eastAsia="Arial" w:hAnsi="Arial"/>
                <w:b/>
                <w:bCs/>
                <w:sz w:val="24"/>
                <w:szCs w:val="24"/>
              </w:rPr>
              <w:t xml:space="preserve">Status: BURDEN CANNOT BE DISCHARGED. </w:t>
            </w:r>
            <w:r>
              <w:rPr>
                <w:rFonts w:ascii="Arial" w:cs="Arial" w:eastAsia="Arial" w:hAnsi="Arial"/>
                <w:sz w:val="24"/>
                <w:szCs w:val="24"/>
              </w:rPr>
              <w:t xml:space="preserve">The Respondents' documented conduct — filing a sworn CCMA affidavit attacking the whistleblower the day after the P1 report (10 December 2025), issuing a written suppression instruction through the Chief Risk Officer (18 December 2025), and maintaining total silence across nine escalations — is the antithesis of all that was reasonably practicable. It is the conduct of an institution that, when placed on statutory notice, chose to eliminate the whistleblower rather than the risk.</w:t>
            </w:r>
          </w:p>
        </w:tc>
      </w:tr>
    </w:tbl>
    <w:p>
      <w:pPr>
        <w:spacing w:after="120"/>
      </w:pPr>
      <w:r>
        <w:t xml:space="preserve"/>
      </w:r>
    </w:p>
    <w:p>
      <w:pPr>
        <w:spacing w:after="120" w:before="60"/>
        <w:ind w:left="360" w:hanging="360"/>
      </w:pPr>
      <w:r>
        <w:rPr>
          <w:rFonts w:ascii="Arial" w:cs="Arial" w:eastAsia="Arial" w:hAnsi="Arial"/>
          <w:b/>
          <w:bCs/>
          <w:sz w:val="24"/>
          <w:szCs w:val="24"/>
        </w:rPr>
        <w:t xml:space="preserve">4.2</w:t>
      </w:r>
      <w:r>
        <w:rPr>
          <w:rFonts w:ascii="Arial" w:cs="Arial" w:eastAsia="Arial" w:hAnsi="Arial"/>
          <w:sz w:val="24"/>
          <w:szCs w:val="24"/>
        </w:rPr>
        <w:t xml:space="preserve">	The critical additional feature of this case is that the P1 Material Risk Report did not merely describe the underlying conduct. At Section 4A of that report, under the heading "Legal and Regulatory Risks," the document explicitly stated: "Personal liability for directors under Section 60 of EEA." The individual Respondents were not only placed on notice of the conduct — they were placed on notice of the precise statutory mechanism that would render them personally liable for their subsequent inaction. Their silence thereafter was not inadvertent. The word "wilful" in Section 162(5)(c) requires awareness of the act or omission and its likely consequences. That awareness was supplied in writing on 9 December 2025.</w:t>
      </w:r>
    </w:p>
    <w:p>
      <w:pPr>
        <w:spacing w:after="120" w:before="60"/>
        <w:ind w:left="360" w:hanging="360"/>
      </w:pPr>
      <w:r>
        <w:rPr>
          <w:rFonts w:ascii="Arial" w:cs="Arial" w:eastAsia="Arial" w:hAnsi="Arial"/>
          <w:b/>
          <w:bCs/>
          <w:sz w:val="24"/>
          <w:szCs w:val="24"/>
        </w:rPr>
        <w:t xml:space="preserve">4.3</w:t>
      </w:r>
      <w:r>
        <w:rPr>
          <w:rFonts w:ascii="Arial" w:cs="Arial" w:eastAsia="Arial" w:hAnsi="Arial"/>
          <w:sz w:val="24"/>
          <w:szCs w:val="24"/>
        </w:rPr>
        <w:t xml:space="preserve">	The Court is respectfully invited to approach the Section 162 application through the Section 60 framework as the primary analytical lens. The advantage of this approach is threefold: it eliminates subjectivity from the delinquency inquiry (the deemed contravention is statutory, not evaluative); it places the burden of proof on the Respondents; and it directly links each named Respondent's receipt of the P1 report to their individual liability, without requiring the Court to draw inferences from circumstantial conduct.</w:t>
      </w:r>
    </w:p>
    <w:p>
      <w:pPr>
        <w:spacing w:after="120" w:before="60"/>
        <w:ind w:left="360" w:hanging="360"/>
      </w:pPr>
      <w:r>
        <w:rPr>
          <w:rFonts w:ascii="Arial" w:cs="Arial" w:eastAsia="Arial" w:hAnsi="Arial"/>
          <w:b/>
          <w:bCs/>
          <w:sz w:val="24"/>
          <w:szCs w:val="24"/>
        </w:rPr>
        <w:t xml:space="preserve">4.4</w:t>
      </w:r>
      <w:r>
        <w:rPr>
          <w:rFonts w:ascii="Arial" w:cs="Arial" w:eastAsia="Arial" w:hAnsi="Arial"/>
          <w:sz w:val="24"/>
          <w:szCs w:val="24"/>
        </w:rPr>
        <w:t xml:space="preserve">	The Applicant further submits that the Section 60 deemed contravention finding, once made by this Court as part of the Section 162 order, constitutes an independent recorded judicial determination. This has consequence beyond the present proceedings: it provides a standalone statutory basis for any appeal to be resisted; it is admissible in the concurrent B-BBEE Commission proceedings (Case No. 5/02/2026); and it documents, for the purposes of JSE continuous disclosure obligations, that a proven EEA contravention occurred at board level of a listed entity.</w:t>
      </w:r>
    </w:p>
    <w:p>
      <w:pPr>
        <w:spacing w:after="120"/>
      </w:pPr>
      <w:r>
        <w:t xml:space="preserve"/>
      </w:r>
    </w:p>
    <w:p>
      <w:pPr>
        <w:pBdr>
          <w:bottom w:val="single" w:color="1F3864" w:sz="6" w:space="1"/>
        </w:pBdr>
        <w:spacing w:before="280" w:after="140"/>
      </w:pPr>
      <w:r>
        <w:rPr>
          <w:rFonts w:ascii="Arial" w:cs="Arial" w:eastAsia="Arial" w:hAnsi="Arial"/>
          <w:b/>
          <w:bCs/>
          <w:caps/>
          <w:sz w:val="28"/>
          <w:szCs w:val="28"/>
        </w:rPr>
        <w:t xml:space="preserve">5. CRITICAL EVIDENCE — FLAGGED FOR THE COURT'S ATTENTION</w:t>
      </w:r>
    </w:p>
    <w:p>
      <w:pPr>
        <w:spacing w:after="120" w:before="60"/>
      </w:pPr>
      <w:r>
        <w:rPr>
          <w:rFonts w:ascii="Arial" w:cs="Arial" w:eastAsia="Arial" w:hAnsi="Arial"/>
          <w:sz w:val="24"/>
          <w:szCs w:val="24"/>
        </w:rPr>
        <w:t xml:space="preserve">The following items are marked ★ in the Bundle Index and are addressed specifically:</w:t>
      </w:r>
    </w:p>
    <w:p>
      <w:pPr>
        <w:spacing w:after="120"/>
      </w:pPr>
      <w:r>
        <w:t xml:space="preserve"/>
      </w:r>
    </w:p>
    <w:p>
      <w:pPr>
        <w:spacing w:after="120" w:before="60"/>
        <w:ind w:left="360" w:hanging="360"/>
      </w:pPr>
      <w:r>
        <w:rPr>
          <w:rFonts w:ascii="Arial" w:cs="Arial" w:eastAsia="Arial" w:hAnsi="Arial"/>
          <w:b/>
          <w:bCs/>
          <w:sz w:val="24"/>
          <w:szCs w:val="24"/>
        </w:rPr>
        <w:t xml:space="preserve">5.1</w:t>
      </w:r>
      <w:r>
        <w:rPr>
          <w:rFonts w:ascii="Arial" w:cs="Arial" w:eastAsia="Arial" w:hAnsi="Arial"/>
          <w:sz w:val="24"/>
          <w:szCs w:val="24"/>
        </w:rPr>
        <w:t xml:space="preserve">	ANNEXURE "C" — THE P1 MATERIAL RISK REPORT (9 DECEMBER 2025)</w:t>
      </w:r>
    </w:p>
    <w:p>
      <w:pPr>
        <w:spacing w:after="120" w:before="60"/>
      </w:pPr>
      <w:r>
        <w:rPr>
          <w:rFonts w:ascii="Arial" w:cs="Arial" w:eastAsia="Arial" w:hAnsi="Arial"/>
          <w:b/>
          <w:bCs/>
          <w:sz w:val="24"/>
          <w:szCs w:val="24"/>
        </w:rPr>
        <w:t xml:space="preserve">This document is the foundation of the entire application. </w:t>
      </w:r>
      <w:r>
        <w:rPr>
          <w:rFonts w:ascii="Arial" w:cs="Arial" w:eastAsia="Arial" w:hAnsi="Arial"/>
          <w:sz w:val="24"/>
          <w:szCs w:val="24"/>
        </w:rPr>
        <w:t xml:space="preserve">It is not background material. The Court is requested to note:</w:t>
      </w:r>
    </w:p>
    <w:p>
      <w:pPr>
        <w:spacing w:after="100" w:before="60"/>
        <w:ind w:left="360"/>
      </w:pPr>
      <w:r>
        <w:rPr>
          <w:rFonts w:ascii="Arial" w:cs="Arial" w:eastAsia="Arial" w:hAnsi="Arial"/>
          <w:sz w:val="24"/>
          <w:szCs w:val="24"/>
        </w:rPr>
        <w:t xml:space="preserve">(a)	Delivered directly to the First, Second, Third and Fifth Respondents in their individual board-level capacities, with the Fourth Respondent having received the antecedent protected disclosure of 4 December 2025;</w:t>
      </w:r>
    </w:p>
    <w:p>
      <w:pPr>
        <w:spacing w:after="100" w:before="60"/>
        <w:ind w:left="360"/>
      </w:pPr>
      <w:r>
        <w:rPr>
          <w:rFonts w:ascii="Arial" w:cs="Arial" w:eastAsia="Arial" w:hAnsi="Arial"/>
          <w:sz w:val="24"/>
          <w:szCs w:val="24"/>
        </w:rPr>
        <w:t xml:space="preserve">(b)	Accompanied by 38 evidentiary attachments documenting discrimination, victimisation, an unlawful 40.47% payroll deduction during a medically documented psychiatric admission, 30 days of institutional silence, and imminent CCMA litigation;</w:t>
      </w:r>
    </w:p>
    <w:p>
      <w:pPr>
        <w:spacing w:after="100" w:before="60"/>
        <w:ind w:left="360"/>
      </w:pPr>
      <w:r>
        <w:rPr>
          <w:rFonts w:ascii="Arial" w:cs="Arial" w:eastAsia="Arial" w:hAnsi="Arial"/>
          <w:sz w:val="24"/>
          <w:szCs w:val="24"/>
        </w:rPr>
        <w:t xml:space="preserve">(c)	At Section 4A, under "Legal and Regulatory Risks," the document explicitly states: "Personal liability for directors under Section 60 of EEA" — a precise statutory notification of the mechanism that would hold each named Respondent personally liable for inaction; and</w:t>
      </w:r>
    </w:p>
    <w:p>
      <w:pPr>
        <w:spacing w:after="100" w:before="60"/>
        <w:ind w:left="360"/>
      </w:pPr>
      <w:r>
        <w:rPr>
          <w:rFonts w:ascii="Arial" w:cs="Arial" w:eastAsia="Arial" w:hAnsi="Arial"/>
          <w:sz w:val="24"/>
          <w:szCs w:val="24"/>
        </w:rPr>
        <w:t xml:space="preserve">(d)	No response was received. This transforms the document from a governance complaint into a statutory predicate. Everything that followed occurred in the shadow of this notification.</w:t>
      </w:r>
    </w:p>
    <w:p>
      <w:pPr>
        <w:spacing w:after="120"/>
      </w:pPr>
      <w:r>
        <w:t xml:space="preserve"/>
      </w:r>
    </w:p>
    <w:p>
      <w:pPr>
        <w:spacing w:after="120" w:before="60"/>
        <w:ind w:left="360" w:hanging="360"/>
      </w:pPr>
      <w:r>
        <w:rPr>
          <w:rFonts w:ascii="Arial" w:cs="Arial" w:eastAsia="Arial" w:hAnsi="Arial"/>
          <w:b/>
          <w:bCs/>
          <w:sz w:val="24"/>
          <w:szCs w:val="24"/>
        </w:rPr>
        <w:t xml:space="preserve">5.2</w:t>
      </w:r>
      <w:r>
        <w:rPr>
          <w:rFonts w:ascii="Arial" w:cs="Arial" w:eastAsia="Arial" w:hAnsi="Arial"/>
          <w:sz w:val="24"/>
          <w:szCs w:val="24"/>
        </w:rPr>
        <w:t xml:space="preserve">	ANNEXURE "E" — CRO SUPPRESSION EMAIL (18 DECEMBER 2025)</w:t>
      </w:r>
    </w:p>
    <w:p>
      <w:pPr>
        <w:spacing w:after="120" w:before="60"/>
      </w:pPr>
      <w:r>
        <w:rPr>
          <w:rFonts w:ascii="Arial" w:cs="Arial" w:eastAsia="Arial" w:hAnsi="Arial"/>
          <w:b/>
          <w:bCs/>
          <w:sz w:val="24"/>
          <w:szCs w:val="24"/>
        </w:rPr>
        <w:t xml:space="preserve">This document is the operational complement to Annexure "C." </w:t>
      </w:r>
      <w:r>
        <w:rPr>
          <w:rFonts w:ascii="Arial" w:cs="Arial" w:eastAsia="Arial" w:hAnsi="Arial"/>
          <w:sz w:val="24"/>
          <w:szCs w:val="24"/>
        </w:rPr>
        <w:t xml:space="preserve">The Chief Risk Officer instructed the Applicant in writing to cease communicating with the board's independent oversight committees, characterising a Priority 1 governance escalation as "impatience and unreasonableness." This email was sent nine days after the P1 report and eight days after the Respondents' legal representative filed a sworn affidavit attacking the Applicant. The CRO's office exists to manage precisely this category of risk. Its use to suppress a P1 escalation is independently delinquent under Section 162(2)(d).</w:t>
      </w:r>
    </w:p>
    <w:p>
      <w:pPr>
        <w:spacing w:after="120"/>
      </w:pPr>
      <w:r>
        <w:t xml:space="preserve"/>
      </w:r>
    </w:p>
    <w:p>
      <w:pPr>
        <w:spacing w:after="120" w:before="60"/>
        <w:ind w:left="360" w:hanging="360"/>
      </w:pPr>
      <w:r>
        <w:rPr>
          <w:rFonts w:ascii="Arial" w:cs="Arial" w:eastAsia="Arial" w:hAnsi="Arial"/>
          <w:b/>
          <w:bCs/>
          <w:sz w:val="24"/>
          <w:szCs w:val="24"/>
        </w:rPr>
        <w:t xml:space="preserve">5.3</w:t>
      </w:r>
      <w:r>
        <w:rPr>
          <w:rFonts w:ascii="Arial" w:cs="Arial" w:eastAsia="Arial" w:hAnsi="Arial"/>
          <w:sz w:val="24"/>
          <w:szCs w:val="24"/>
        </w:rPr>
        <w:t xml:space="preserve">	ANNEXURE "D9" — FINAL GOOD FAITH NOTICE (14 MARCH 2026)</w:t>
      </w:r>
    </w:p>
    <w:p>
      <w:pPr>
        <w:spacing w:after="120" w:before="60"/>
      </w:pPr>
      <w:r>
        <w:rPr>
          <w:rFonts w:ascii="Arial" w:cs="Arial" w:eastAsia="Arial" w:hAnsi="Arial"/>
          <w:b/>
          <w:bCs/>
          <w:sz w:val="24"/>
          <w:szCs w:val="24"/>
        </w:rPr>
        <w:t xml:space="preserve">This document establishes procedural compliance. </w:t>
      </w:r>
      <w:r>
        <w:rPr>
          <w:rFonts w:ascii="Arial" w:cs="Arial" w:eastAsia="Arial" w:hAnsi="Arial"/>
          <w:sz w:val="24"/>
          <w:szCs w:val="24"/>
        </w:rPr>
        <w:t xml:space="preserve">Delivered via the Fifth Respondent as Group Company Secretary, copied to each named individual Respondent, and copied to the High Court record as a pre-application document. Settlement deadline: 16:00 Monday 16 March 2026. No response received. This application is the direct consequence.</w:t>
      </w:r>
    </w:p>
    <w:p>
      <w:pPr>
        <w:spacing w:after="120"/>
      </w:pPr>
      <w:r>
        <w:t xml:space="preserve"/>
      </w:r>
    </w:p>
    <w:p>
      <w:pPr>
        <w:spacing w:after="120" w:before="60"/>
        <w:ind w:left="360" w:hanging="360"/>
      </w:pPr>
      <w:r>
        <w:rPr>
          <w:rFonts w:ascii="Arial" w:cs="Arial" w:eastAsia="Arial" w:hAnsi="Arial"/>
          <w:b/>
          <w:bCs/>
          <w:sz w:val="24"/>
          <w:szCs w:val="24"/>
        </w:rPr>
        <w:t xml:space="preserve">5.4</w:t>
      </w:r>
      <w:r>
        <w:rPr>
          <w:rFonts w:ascii="Arial" w:cs="Arial" w:eastAsia="Arial" w:hAnsi="Arial"/>
          <w:sz w:val="24"/>
          <w:szCs w:val="24"/>
        </w:rPr>
        <w:t xml:space="preserve">	ANNEXURE "F" — CHERYL-DAWN MODERN WRITTEN ADMISSION (19 JANUARY 2026)</w:t>
      </w:r>
    </w:p>
    <w:p>
      <w:pPr>
        <w:spacing w:after="120" w:before="60"/>
      </w:pPr>
      <w:r>
        <w:rPr>
          <w:rFonts w:ascii="Arial" w:cs="Arial" w:eastAsia="Arial" w:hAnsi="Arial"/>
          <w:b/>
          <w:bCs/>
          <w:sz w:val="24"/>
          <w:szCs w:val="24"/>
        </w:rPr>
        <w:t xml:space="preserve">This document is the written confession of the B-BBEE fronting mechanism. </w:t>
      </w:r>
      <w:r>
        <w:rPr>
          <w:rFonts w:ascii="Arial" w:cs="Arial" w:eastAsia="Arial" w:hAnsi="Arial"/>
          <w:sz w:val="24"/>
          <w:szCs w:val="24"/>
        </w:rPr>
        <w:t xml:space="preserve">The Senior HR Business Partner confirmed in writing that the Naming Convention business process was "still in progress" and that no changes to the Care Co-Ordinator job title had been implemented. Read against the Applicant's NQF Level 8 qualifications and their utilisation for Skills Development and Management Control scorecard indicators, this admission establishes deliberate title suppression. This document is before the B-BBEE Commission (Case No. 5/02/2026) and before this Court.</w:t>
      </w:r>
    </w:p>
    <w:p>
      <w:pPr>
        <w:spacing w:after="120"/>
      </w:pPr>
      <w:r>
        <w:t xml:space="preserve"/>
      </w:r>
    </w:p>
    <w:p>
      <w:pPr>
        <w:pBdr>
          <w:bottom w:val="single" w:color="1F3864" w:sz="6" w:space="1"/>
        </w:pBdr>
        <w:spacing w:before="280" w:after="140"/>
      </w:pPr>
      <w:r>
        <w:rPr>
          <w:rFonts w:ascii="Arial" w:cs="Arial" w:eastAsia="Arial" w:hAnsi="Arial"/>
          <w:b/>
          <w:bCs/>
          <w:caps/>
          <w:sz w:val="28"/>
          <w:szCs w:val="28"/>
        </w:rPr>
        <w:t xml:space="preserve">6. URGENCY</w:t>
      </w:r>
    </w:p>
    <w:p>
      <w:pPr>
        <w:spacing w:after="120" w:before="60"/>
        <w:ind w:left="360" w:hanging="360"/>
      </w:pPr>
      <w:r>
        <w:rPr>
          <w:rFonts w:ascii="Arial" w:cs="Arial" w:eastAsia="Arial" w:hAnsi="Arial"/>
          <w:b/>
          <w:bCs/>
          <w:sz w:val="24"/>
          <w:szCs w:val="24"/>
        </w:rPr>
        <w:t xml:space="preserve">6.1</w:t>
      </w:r>
      <w:r>
        <w:rPr>
          <w:rFonts w:ascii="Arial" w:cs="Arial" w:eastAsia="Arial" w:hAnsi="Arial"/>
          <w:sz w:val="24"/>
          <w:szCs w:val="24"/>
        </w:rPr>
        <w:t xml:space="preserve">	The Applicant faces confirmed eviction from his residence at 15 Bellevue Street, Voorbrug, Cape Town, 7100, at the end of March 2026 — within days of this filing;</w:t>
      </w:r>
    </w:p>
    <w:p>
      <w:pPr>
        <w:spacing w:after="120" w:before="60"/>
        <w:ind w:left="360" w:hanging="360"/>
      </w:pPr>
      <w:r>
        <w:rPr>
          <w:rFonts w:ascii="Arial" w:cs="Arial" w:eastAsia="Arial" w:hAnsi="Arial"/>
          <w:b/>
          <w:bCs/>
          <w:sz w:val="24"/>
          <w:szCs w:val="24"/>
        </w:rPr>
        <w:t xml:space="preserve">6.2</w:t>
      </w:r>
      <w:r>
        <w:rPr>
          <w:rFonts w:ascii="Arial" w:cs="Arial" w:eastAsia="Arial" w:hAnsi="Arial"/>
          <w:sz w:val="24"/>
          <w:szCs w:val="24"/>
        </w:rPr>
        <w:t xml:space="preserve">	The Applicant's South African Nursing Council registration has lapsed, with every week of delay extending an irreversible professional harm;</w:t>
      </w:r>
    </w:p>
    <w:p>
      <w:pPr>
        <w:spacing w:after="120" w:before="60"/>
        <w:ind w:left="360" w:hanging="360"/>
      </w:pPr>
      <w:r>
        <w:rPr>
          <w:rFonts w:ascii="Arial" w:cs="Arial" w:eastAsia="Arial" w:hAnsi="Arial"/>
          <w:b/>
          <w:bCs/>
          <w:sz w:val="24"/>
          <w:szCs w:val="24"/>
        </w:rPr>
        <w:t xml:space="preserve">6.3</w:t>
      </w:r>
      <w:r>
        <w:rPr>
          <w:rFonts w:ascii="Arial" w:cs="Arial" w:eastAsia="Arial" w:hAnsi="Arial"/>
          <w:sz w:val="24"/>
          <w:szCs w:val="24"/>
        </w:rPr>
        <w:t xml:space="preserve">	The Applicant has no income, no running water, and has had personal property physically removed by creditors as informal security for debt incurred as a direct consequence of the unlawful deduction;</w:t>
      </w:r>
    </w:p>
    <w:p>
      <w:pPr>
        <w:spacing w:after="120" w:before="60"/>
        <w:ind w:left="360" w:hanging="360"/>
      </w:pPr>
      <w:r>
        <w:rPr>
          <w:rFonts w:ascii="Arial" w:cs="Arial" w:eastAsia="Arial" w:hAnsi="Arial"/>
          <w:b/>
          <w:bCs/>
          <w:sz w:val="24"/>
          <w:szCs w:val="24"/>
        </w:rPr>
        <w:t xml:space="preserve">6.4</w:t>
      </w:r>
      <w:r>
        <w:rPr>
          <w:rFonts w:ascii="Arial" w:cs="Arial" w:eastAsia="Arial" w:hAnsi="Arial"/>
          <w:sz w:val="24"/>
          <w:szCs w:val="24"/>
        </w:rPr>
        <w:t xml:space="preserve">	The urgency is not self-created. It flows entirely from the Respondents' sustained institutional silence following their receipt of a Priority 1 Material Risk Report that explicitly warned of these consequences; and</w:t>
      </w:r>
    </w:p>
    <w:p>
      <w:pPr>
        <w:spacing w:after="120" w:before="60"/>
        <w:ind w:left="360" w:hanging="360"/>
      </w:pPr>
      <w:r>
        <w:rPr>
          <w:rFonts w:ascii="Arial" w:cs="Arial" w:eastAsia="Arial" w:hAnsi="Arial"/>
          <w:b/>
          <w:bCs/>
          <w:sz w:val="24"/>
          <w:szCs w:val="24"/>
        </w:rPr>
        <w:t xml:space="preserve">6.5</w:t>
      </w:r>
      <w:r>
        <w:rPr>
          <w:rFonts w:ascii="Arial" w:cs="Arial" w:eastAsia="Arial" w:hAnsi="Arial"/>
          <w:sz w:val="24"/>
          <w:szCs w:val="24"/>
        </w:rPr>
        <w:t xml:space="preserve">	A hearing in due course will not afford the Applicant substantial redress. The consequences of confirmed homelessness and SANC deregistration will have become irreversible before a normal motion court date can be obtained.</w:t>
      </w:r>
    </w:p>
    <w:p>
      <w:pPr>
        <w:spacing w:after="120"/>
      </w:pPr>
      <w:r>
        <w:t xml:space="preserve"/>
      </w:r>
    </w:p>
    <w:p>
      <w:pPr>
        <w:pBdr>
          <w:bottom w:val="single" w:color="1F3864" w:sz="6" w:space="1"/>
        </w:pBdr>
        <w:spacing w:before="280" w:after="140"/>
      </w:pPr>
      <w:r>
        <w:rPr>
          <w:rFonts w:ascii="Arial" w:cs="Arial" w:eastAsia="Arial" w:hAnsi="Arial"/>
          <w:b/>
          <w:bCs/>
          <w:caps/>
          <w:sz w:val="28"/>
          <w:szCs w:val="28"/>
        </w:rPr>
        <w:t xml:space="preserve">7. RELIEF SOUGHT AND ESTIMATED HEARING TIME</w:t>
      </w:r>
    </w:p>
    <w:p>
      <w:pPr>
        <w:spacing w:after="120" w:before="60"/>
        <w:ind w:left="360" w:hanging="360"/>
      </w:pPr>
      <w:r>
        <w:rPr>
          <w:rFonts w:ascii="Arial" w:cs="Arial" w:eastAsia="Arial" w:hAnsi="Arial"/>
          <w:b/>
          <w:bCs/>
          <w:sz w:val="24"/>
          <w:szCs w:val="24"/>
        </w:rPr>
        <w:t xml:space="preserve">7.1</w:t>
      </w:r>
      <w:r>
        <w:rPr>
          <w:rFonts w:ascii="Arial" w:cs="Arial" w:eastAsia="Arial" w:hAnsi="Arial"/>
          <w:sz w:val="24"/>
          <w:szCs w:val="24"/>
        </w:rPr>
        <w:t xml:space="preserve">	The Applicant seeks the relief set out in the Notice of Motion, incorporating Prayer 5A (Section 60 EEA deemed contravention as primary standalone ground). The primary relief is delinquency under Section 162(5)(c) and/or (d) in respect of the First to Fifth Respondents.</w:t>
      </w:r>
    </w:p>
    <w:p>
      <w:pPr>
        <w:spacing w:after="120" w:before="60"/>
        <w:ind w:left="360" w:hanging="360"/>
      </w:pPr>
      <w:r>
        <w:rPr>
          <w:rFonts w:ascii="Arial" w:cs="Arial" w:eastAsia="Arial" w:hAnsi="Arial"/>
          <w:b/>
          <w:bCs/>
          <w:sz w:val="24"/>
          <w:szCs w:val="24"/>
        </w:rPr>
        <w:t xml:space="preserve">7.2</w:t>
      </w:r>
      <w:r>
        <w:rPr>
          <w:rFonts w:ascii="Arial" w:cs="Arial" w:eastAsia="Arial" w:hAnsi="Arial"/>
          <w:sz w:val="24"/>
          <w:szCs w:val="24"/>
        </w:rPr>
        <w:t xml:space="preserve">	The Applicant estimates that the matter can be argued in approximately two hours if unopposed, and three to four hours if any Respondent appears.</w:t>
      </w:r>
    </w:p>
    <w:p>
      <w:pPr>
        <w:spacing w:after="120" w:before="60"/>
        <w:ind w:left="360" w:hanging="360"/>
      </w:pPr>
      <w:r>
        <w:rPr>
          <w:rFonts w:ascii="Arial" w:cs="Arial" w:eastAsia="Arial" w:hAnsi="Arial"/>
          <w:b/>
          <w:bCs/>
          <w:sz w:val="24"/>
          <w:szCs w:val="24"/>
        </w:rPr>
        <w:t xml:space="preserve">7.3</w:t>
      </w:r>
      <w:r>
        <w:rPr>
          <w:rFonts w:ascii="Arial" w:cs="Arial" w:eastAsia="Arial" w:hAnsi="Arial"/>
          <w:sz w:val="24"/>
          <w:szCs w:val="24"/>
        </w:rPr>
        <w:t xml:space="preserve">	The Applicant respectfully requests that the matter be enrolled as a matter of urgency at the earliest available opportunity, having regard to the confirmed end-of-March 2026 eviction deadline.</w:t>
      </w:r>
    </w:p>
    <w:p>
      <w:pPr>
        <w:spacing w:after="120"/>
      </w:pPr>
      <w:r>
        <w:t xml:space="preserve"/>
      </w:r>
    </w:p>
    <w:p>
      <w:pPr>
        <w:pBdr>
          <w:bottom w:val="single" w:color="1F3864" w:sz="4" w:space="4"/>
        </w:pBdr>
        <w:spacing w:after="160" w:before="160"/>
      </w:pPr>
    </w:p>
    <w:p>
      <w:pPr>
        <w:spacing w:after="120"/>
      </w:pPr>
      <w:r>
        <w:t xml:space="preserve"/>
      </w:r>
    </w:p>
    <w:p>
      <w:pPr>
        <w:spacing w:after="120"/>
        <w:jc w:val="center"/>
      </w:pPr>
      <w:r>
        <w:rPr>
          <w:rFonts w:ascii="Arial" w:cs="Arial" w:eastAsia="Arial" w:hAnsi="Arial"/>
          <w:sz w:val="24"/>
          <w:szCs w:val="24"/>
        </w:rPr>
        <w:t xml:space="preserve">Compiled by: WILBUR WILLIAM MATTHEE (Applicant — Self-Represented)</w:t>
      </w:r>
    </w:p>
    <w:p>
      <w:pPr>
        <w:spacing w:after="120"/>
        <w:jc w:val="center"/>
      </w:pPr>
      <w:r>
        <w:rPr>
          <w:rFonts w:ascii="Arial" w:cs="Arial" w:eastAsia="Arial" w:hAnsi="Arial"/>
          <w:sz w:val="24"/>
          <w:szCs w:val="24"/>
        </w:rPr>
        <w:t xml:space="preserve">Date: _________________ 2026</w:t>
      </w:r>
    </w:p>
    <w:p>
      <w:pPr>
        <w:spacing w:after="120"/>
        <w:jc w:val="center"/>
      </w:pPr>
      <w:r>
        <w:rPr>
          <w:rFonts w:ascii="Arial" w:cs="Arial" w:eastAsia="Arial" w:hAnsi="Arial"/>
          <w:sz w:val="24"/>
          <w:szCs w:val="24"/>
        </w:rPr>
        <w:t xml:space="preserve">Email: info@ethichawks.co.za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80"/>
      <w:jc w:val="center"/>
    </w:pPr>
    <w:r>
      <w:rPr>
        <w:rFonts w:ascii="Arial" w:cs="Arial" w:eastAsia="Arial" w:hAnsi="Arial"/>
        <w:i/>
        <w:iCs/>
        <w:sz w:val="20"/>
        <w:szCs w:val="20"/>
      </w:rPr>
      <w:t xml:space="preserve">Matthee v Fernandes &amp; Others</w:t>
    </w:r>
    <w:r>
      <w:rPr>
        <w:rFonts w:ascii="Arial" w:cs="Arial" w:eastAsia="Arial" w:hAnsi="Arial"/>
        <w:sz w:val="20"/>
        <w:szCs w:val="20"/>
      </w:rPr>
      <w:t xml:space="preserve"> | Practice Note | 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80"/>
      <w:jc w:val="center"/>
    </w:pPr>
    <w:r>
      <w:rPr>
        <w:rFonts w:ascii="Arial" w:cs="Arial" w:eastAsia="Arial" w:hAnsi="Arial"/>
        <w:i/>
        <w:iCs/>
        <w:sz w:val="20"/>
        <w:szCs w:val="20"/>
      </w:rPr>
      <w:t xml:space="preserve">Matthee v Fernandes &amp; Others</w:t>
    </w:r>
    <w:r>
      <w:rPr>
        <w:rFonts w:ascii="Arial" w:cs="Arial" w:eastAsia="Arial" w:hAnsi="Arial"/>
        <w:sz w:val="20"/>
        <w:szCs w:val="20"/>
      </w:rPr>
      <w:t xml:space="preserve"> | Practice Note | Western Cape High Court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2026-03-18T17:09:43.179Z</dcterms:created>
  <dcterms:modified xsi:type="dcterms:W3CDTF">2026-03-18T17:09:43.180Z</dcterms:modified>
</cp:coreProperties>
</file>

<file path=docProps/custom.xml><?xml version="1.0" encoding="utf-8"?>
<Properties xmlns="http://schemas.openxmlformats.org/officeDocument/2006/custom-properties" xmlns:vt="http://schemas.openxmlformats.org/officeDocument/2006/docPropsVTypes"/>
</file>