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200"/>
              <w:left w:type="dxa" w:w="2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Sr W.W. Matthee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C9A84C"/>
                <w:spacing w:val="30"/>
                <w:sz w:val="18"/>
                <w:szCs w:val="18"/>
              </w:rPr>
              <w:t xml:space="preserve">FORENSIC GOVERNANCE ARCHITECT  |  COMPLIANCE MANAGER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A8C0D8"/>
                <w:sz w:val="17"/>
                <w:szCs w:val="17"/>
              </w:rPr>
              <w:t xml:space="preserve">069 635 1435  ·  info@ethichawks.co.za  ·  www.ethichawks.co.za  ·  Cape Town, SA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i/>
                <w:iCs/>
                <w:color w:val="7090A8"/>
                <w:sz w:val="16"/>
                <w:szCs w:val="16"/>
              </w:rPr>
              <w:t xml:space="preserve">SANC Reg: 15831886  ·  HSM(PgDip) · Gen Nur · Psych · Midv · Com Nur (R425)  ·  No Criminal Record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1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B3A5C"/>
          <w:spacing w:val="60"/>
          <w:sz w:val="22"/>
          <w:szCs w:val="22"/>
        </w:rPr>
        <w:t xml:space="preserve">PROFESSIONAL SUMMARY</w:t>
      </w:r>
    </w:p>
    <w:p>
      <w:pPr>
        <w:pBdr>
          <w:bottom w:val="single" w:color="C9A84C" w:sz="12" w:space="1"/>
        </w:pBdr>
        <w:spacing w:after="80" w:before="0"/>
      </w:pPr>
    </w:p>
    <w:p>
      <w:p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Clinical Governance and Compliance Professional with 16+ years engineering regulatory frameworks, conducting forensic audits, and driving institutional accountability across complex healthcare ecosystems. Specialist in identifying structural integration gaps that cause systemic fiduciary collapse — and building frameworks that close them operationally, not theoretically.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C9A84C"/>
          <w:sz w:val="19"/>
          <w:szCs w:val="19"/>
        </w:rPr>
        <w:t xml:space="preserve">Guiding Principle: </w:t>
      </w:r>
      <w:r>
        <w:rPr>
          <w:rFonts w:ascii="Calibri" w:cs="Calibri" w:eastAsia="Calibri" w:hAnsi="Calibri"/>
          <w:b/>
          <w:bCs/>
          <w:i/>
          <w:iCs/>
          <w:color w:val="1B3A5C"/>
          <w:sz w:val="19"/>
          <w:szCs w:val="19"/>
        </w:rPr>
        <w:t xml:space="preserve">True accountability is not occasional; it is structural.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B3A5C"/>
          <w:spacing w:val="60"/>
          <w:sz w:val="22"/>
          <w:szCs w:val="22"/>
        </w:rPr>
        <w:t xml:space="preserve">CORE COMPETENCIES</w:t>
      </w:r>
    </w:p>
    <w:p>
      <w:pPr>
        <w:pBdr>
          <w:bottom w:val="single" w:color="C9A84C" w:sz="12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2F5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Forensic Audit &amp; Governance Architecture</w:t>
            </w:r>
          </w:p>
        </w:tc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2F5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Root Cause Analysis (RCA)</w:t>
            </w:r>
          </w:p>
        </w:tc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2F5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ICH-GCP &amp; Clinical Research Governance</w:t>
            </w:r>
          </w:p>
        </w:tc>
      </w:tr>
      <w:tr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Risk Stratification &amp; Fiduciary Analysis</w:t>
            </w:r>
          </w:p>
        </w:tc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ALCOA+ Data Integrity Standards</w:t>
            </w:r>
          </w:p>
        </w:tc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POPIA &amp; International Data Protection</w:t>
            </w:r>
          </w:p>
        </w:tc>
      </w:tr>
      <w:tr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2F5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Whistleblower Protection (PDA Frameworks)</w:t>
            </w:r>
          </w:p>
        </w:tc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2F5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Regulatory Compliance (Nursing Act 33/2005)</w:t>
            </w:r>
          </w:p>
        </w:tc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2F5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CPD Framework Design &amp; SANC Compliance</w:t>
            </w:r>
          </w:p>
        </w:tc>
      </w:tr>
      <w:tr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Corporate Governance (King IV)</w:t>
            </w:r>
          </w:p>
        </w:tc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Case Management &amp; Utilisation Review</w:t>
            </w:r>
          </w:p>
        </w:tc>
        <w:tc>
          <w:tcPr>
            <w:tcW w:type="dxa" w:w="312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Interdisciplinary Team Leadership</w:t>
            </w:r>
          </w:p>
        </w:tc>
      </w:tr>
    </w:tbl>
    <w:p>
      <w:pPr>
        <w:spacing w:after="20" w:before="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B3A5C"/>
          <w:spacing w:val="60"/>
          <w:sz w:val="22"/>
          <w:szCs w:val="22"/>
        </w:rPr>
        <w:t xml:space="preserve">PROFESSIONAL EXPERIENCE</w:t>
      </w:r>
    </w:p>
    <w:p>
      <w:pPr>
        <w:pBdr>
          <w:bottom w:val="single" w:color="C9A84C" w:sz="12" w:space="1"/>
        </w:pBdr>
        <w:spacing w:after="8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Founder &amp; Forensic Governance Architect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E6DA4"/>
          <w:sz w:val="19"/>
          <w:szCs w:val="19"/>
        </w:rPr>
        <w:t xml:space="preserve">EthicHawks Forensic Governance &amp; Compliance Consultancy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Sep 2025 – Present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Designed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corporate governance audit frameworks mapping structural integration failures and actuarial fiduciary exposure across South Africa's managed care sector.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Engineered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the proprietary Governance Tax model — quantifying the compounding financial cost of systemic non-compliance, suppressed disclosures, and clinical information system failures (Gexus/DMS).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Conducted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multi-layered Root Cause Analysis (RCA) of governance paradoxes; produced forensic dossiers submitted to SAHRC, JSE, FSCA, CMS, and DEL.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Architected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PalCare — an NHI-aligned forensic clinical governance SaaS platform for the palliative care sector, featuring immutable audit records and billing gatekeeping.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Case Manager — Clinical Governance Lead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E6DA4"/>
          <w:sz w:val="19"/>
          <w:szCs w:val="19"/>
        </w:rPr>
        <w:t xml:space="preserve">AfroCentric Health | Medscheme | GEMS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May 2024 – Dec 2025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Engineered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 proprietary Business CPD Framework automating nursing staff compliance tracking, achieving 100% alignment with the SANC 2024/2025 phased-in mandate.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Architected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 forensic governance model standardising Portfolio of Evidence (PoE) protocols and SANC Forms 5, 6 &amp; 7 — maintaining an audit-ready governance trail at all times.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Maintained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100% compliance with clinical governance frameworks (Nursing Act 33/2005) and integrated real-time regulatory audits into the CPD architecture.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Identified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and documented structural Gexus/DMS clinical information integration failures with material actuarial implications for claim validity and disease management data integrity.</w:t>
      </w:r>
    </w:p>
    <w:p>
      <w:pPr>
        <w:spacing w:after="10" w:before="30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Ref: Allison Philander | +27 78 028 0697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Study Nurse / Clinical Research Coordinator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E6DA4"/>
          <w:sz w:val="19"/>
          <w:szCs w:val="19"/>
        </w:rPr>
        <w:t xml:space="preserve">TASK Applied Science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Jan 2022 – Apr 2024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Established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audit-ready site protocols achieving 100% compliance at all Sponsor/CRO monitoring visits — maintaining zero protocol deviations across the full study lifecycle.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Applied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ALCOA+ data integrity principles across all data lifecycle management activities, setting the site gold standard for research data governance.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Maintained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forensic integrity of trial data and specimen storage in full alignment with POPIA and international data protection standards.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Ensured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zero safety reporting violations — all AE/SAE events reported within the mandatory 24-hour statutory window throughout the trial lifecycle.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Specialist Clinical &amp; TB Research Roles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E6DA4"/>
          <w:sz w:val="19"/>
          <w:szCs w:val="19"/>
        </w:rPr>
        <w:t xml:space="preserve">Brooklyn Chest Hospital (TB Research) · Mitchell's Plain District Hospital · St. Luke's Hospice · Clicks Retail Clinic · Harry Comay Hospital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 |   2009 – 2022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Enforced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strict compliance with hospital policies, statutory regulations, and pharmacovigilance reporting across emergency, surgical, palliative, and community nursing environments.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Maintained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zero-deviation adherence to MDR/XDR-TB drug scheduling, Direct Observed Therapy (DOT) protocols, and multidisciplinary TB research compliance standards.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COVID-19 emergency nursing operations (Waves 1 &amp; 2) — received formal written commendation from Dr. PMJ Ohm for clinical governance standards and shift leadership under crisis conditions.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Managed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regulatory compliance across retail and community clinic settings (Nursing Act, DOH protocols) including immunisation governance, incident reporting, and outbreak risk management.</w:t>
      </w:r>
    </w:p>
    <w:p>
      <w:pPr>
        <w:spacing w:after="20" w:before="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B3A5C"/>
          <w:spacing w:val="60"/>
          <w:sz w:val="22"/>
          <w:szCs w:val="22"/>
        </w:rPr>
        <w:t xml:space="preserve">COMPLIANCE AUTOMATION &amp; SYSTEMS ARCHITECTURE</w:t>
      </w:r>
    </w:p>
    <w:p>
      <w:pPr>
        <w:pBdr>
          <w:bottom w:val="single" w:color="C9A84C" w:sz="12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2F5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REDCap · EDC Systems · IWRS · EMR/HIS</w:t>
            </w:r>
          </w:p>
        </w:tc>
        <w:tc>
          <w:tcPr>
            <w:tcW w:type="dxa" w:w="468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2F5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Claude (Anthropic) · Gemini · Copilot · Deepseek · Grok</w:t>
            </w:r>
          </w:p>
        </w:tc>
      </w:tr>
      <w:tr>
        <w:tc>
          <w:tcPr>
            <w:tcW w:type="dxa" w:w="468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Supabase · Cloudflare · GitHub (Governance Infra)</w:t>
            </w:r>
          </w:p>
        </w:tc>
        <w:tc>
          <w:tcPr>
            <w:tcW w:type="dxa" w:w="468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Gexus/Nexus · DMS (Disease Management System)</w:t>
            </w:r>
          </w:p>
        </w:tc>
      </w:tr>
      <w:tr>
        <w:tc>
          <w:tcPr>
            <w:tcW w:type="dxa" w:w="468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2F5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Clinicom · HECTIS · Allegra · Unisolv · Xero Viewer</w:t>
            </w:r>
          </w:p>
        </w:tc>
        <w:tc>
          <w:tcPr>
            <w:tcW w:type="dxa" w:w="468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2F5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NotebookLM · Evernote · StackBlitz (Compliance Tooling)</w:t>
            </w:r>
          </w:p>
        </w:tc>
      </w:tr>
      <w:tr>
        <w:tc>
          <w:tcPr>
            <w:tcW w:type="dxa" w:w="468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Web Development &amp; Code Writing (IT–Regulatory Bridge)</w:t>
            </w:r>
          </w:p>
        </w:tc>
        <w:tc>
          <w:tcPr>
            <w:tcW w:type="dxa" w:w="4680"/>
            <w:tcBorders>
              <w:top w:val="single" w:color="D0DAE8" w:sz="3"/>
              <w:left w:val="single" w:color="D0DAE8" w:sz="3"/>
              <w:bottom w:val="single" w:color="D0DAE8" w:sz="3"/>
              <w:right w:val="single" w:color="D0DAE8" w:sz="3"/>
            </w:tcBorders>
            <w:shd w:fill="FFFFFF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Microsoft Office Suite (Word, Excel, PowerPoint, Outlook)</w:t>
            </w:r>
          </w:p>
        </w:tc>
      </w:tr>
    </w:tbl>
    <w:p>
      <w:pPr>
        <w:spacing w:after="20" w:before="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B3A5C"/>
          <w:spacing w:val="60"/>
          <w:sz w:val="22"/>
          <w:szCs w:val="22"/>
        </w:rPr>
        <w:t xml:space="preserve">EDUCATION &amp; QUALIFICATIONS</w:t>
      </w:r>
    </w:p>
    <w:p>
      <w:pPr>
        <w:pBdr>
          <w:bottom w:val="single" w:color="C9A84C" w:sz="12" w:space="1"/>
        </w:pBdr>
        <w:spacing w:after="80" w:before="0"/>
      </w:pPr>
    </w:p>
    <w:p>
      <w:pPr>
        <w:spacing w:after="28" w:before="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PgDip Health Services Management (NQF Level 8) — 90% Distinction 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2022 | CPUT | HOD: Prof. Karien Jooste</w:t>
      </w:r>
    </w:p>
    <w:p>
      <w:pPr>
        <w:spacing w:after="28" w:before="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BTech / Diploma: Nursing Science (R425) 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2010–2015 | Western Cape College of Nursing / CPUT | General · Psychiatry · Midwifery · Community Nursing</w:t>
      </w:r>
    </w:p>
    <w:p>
      <w:pPr>
        <w:spacing w:after="28" w:before="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PgDip Primary Care Nursing (On Hold) 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2023–2024 | CPUT</w:t>
      </w:r>
    </w:p>
    <w:p>
      <w:pPr>
        <w:spacing w:after="28" w:before="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PgDip Occupational Health Nursing (Accepted, On Hold) 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2026 | CPUT</w:t>
      </w:r>
    </w:p>
    <w:p>
      <w:pPr>
        <w:spacing w:after="20" w:before="0"/>
      </w:pP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B3A5C"/>
          <w:spacing w:val="60"/>
          <w:sz w:val="22"/>
          <w:szCs w:val="22"/>
        </w:rPr>
        <w:t xml:space="preserve">PROFESSIONAL CERTIFICATIONS</w:t>
      </w:r>
    </w:p>
    <w:p>
      <w:pPr>
        <w:pBdr>
          <w:bottom w:val="single" w:color="C9A84C" w:sz="12" w:space="1"/>
        </w:pBdr>
        <w:spacing w:after="80" w:before="0"/>
      </w:pPr>
    </w:p>
    <w:p>
      <w:pPr>
        <w:spacing w:after="6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Good Clinical Practice – International &amp; SA (2022)  ·  Good Clinical Laboratory Practice (2022)  ·  IATA ISSR (2022)  ·  Human Subject Protection (2022)  ·  CPR for Health Professionals (2022)  ·  TB/MDR-TB Management – Stellenbosch University (2019)  ·  Advanced Wound Care – Smith &amp; Nephew (2017)  ·  Family Planning &amp; Contraceptives – DOH (2018)  ·  IMCI – CPUT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B3A5C"/>
          <w:spacing w:val="60"/>
          <w:sz w:val="22"/>
          <w:szCs w:val="22"/>
        </w:rPr>
        <w:t xml:space="preserve">THOUGHT LEADERSHIP &amp; PROJECTS</w:t>
      </w:r>
    </w:p>
    <w:p>
      <w:pPr>
        <w:pBdr>
          <w:bottom w:val="single" w:color="C9A84C" w:sz="12" w:space="1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PalCare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NHI-aligned forensic clinical governance SaaS platform for South Africa's palliative care sector. Immutable audit records, billing gatekeeping, and automated compliance escalation. (Active, 2025–present)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Publication: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'Institutional Silence' — Forensic analysis of regulatory capture and the clinical governance failures enabled by political compliance theatre in South Africa's NHI implementation roadmap.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Public Submission: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Formal comment submitted on the Protected Disclosures Amendment Bill 2026 to the Parliamentary Portfolio Committee on Justice — advocating for structural whistleblower protection reforms in healthcare governance.</w:t>
      </w:r>
    </w:p>
    <w:p>
      <w:pPr>
        <w:spacing w:after="40" w:before="0"/>
      </w:pPr>
    </w:p>
    <w:p>
      <w:pPr>
        <w:pBdr>
          <w:top w:val="single" w:color="C9A84C" w:sz="6" w:space="4"/>
        </w:pBd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Sr W.W. Matthee  ·  info@ethichawks.co.za  ·  069 635 1435  ·  www.ethichawks.co.za  ·  EthicHawks Forensic Governance &amp; Compliance Consultancy</w:t>
      </w:r>
    </w:p>
    <w:sectPr>
      <w:pgSz w:w="12240" w:h="15840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f02e6c89d0dfcf2ef1a2ad126cd970e9641f71.jpg"/><Relationship Id="rId8" Type="http://schemas.openxmlformats.org/officeDocument/2006/relationships/image" Target="media/b65a5d467b9d9bce46edf0a66cf161ff3851c1f6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2026-05-14T01:12:37.590Z</dcterms:created>
  <dcterms:modified xsi:type="dcterms:W3CDTF">2026-05-14T01:12:37.603Z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