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spacing w:after="0" w:before="0" w:line="480" w:lineRule="auto"/>
        <w:jc w:val="center"/>
      </w:pPr>
      <w:r>
        <w:rPr>
          <w:rFonts w:ascii="Times New Roman" w:cs="Times New Roman" w:eastAsia="Times New Roman" w:hAnsi="Times New Roman"/>
          <w:b/>
          <w:bCs/>
          <w:i w:val="false"/>
          <w:iCs w:val="false"/>
          <w:caps w:val="false"/>
          <w:sz w:val="24"/>
          <w:szCs w:val="24"/>
        </w:rPr>
        <w:t xml:space="preserve">IN THE HIGH COURT OF SOUTH AFRICA</w:t>
      </w:r>
    </w:p>
    <w:p>
      <w:pPr>
        <w:spacing w:after="0" w:before="0" w:line="480" w:lineRule="auto"/>
        <w:jc w:val="center"/>
      </w:pPr>
      <w:r>
        <w:rPr>
          <w:rFonts w:ascii="Times New Roman" w:cs="Times New Roman" w:eastAsia="Times New Roman" w:hAnsi="Times New Roman"/>
          <w:b/>
          <w:bCs/>
          <w:i w:val="false"/>
          <w:iCs w:val="false"/>
          <w:caps w:val="false"/>
          <w:sz w:val="24"/>
          <w:szCs w:val="24"/>
        </w:rPr>
        <w:t xml:space="preserve">WESTERN CAPE DIVISION, CAPE TOWN</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spacing w:after="0" w:before="0" w:line="480" w:lineRule="auto"/>
        <w:jc w:val="center"/>
      </w:pPr>
      <w:r>
        <w:rPr>
          <w:rFonts w:ascii="Times New Roman" w:cs="Times New Roman" w:eastAsia="Times New Roman" w:hAnsi="Times New Roman"/>
          <w:b/>
          <w:bCs/>
          <w:i w:val="false"/>
          <w:iCs w:val="false"/>
          <w:caps w:val="false"/>
          <w:sz w:val="24"/>
          <w:szCs w:val="24"/>
        </w:rPr>
        <w:t xml:space="preserve">Case No: 2026-086906</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spacing w:after="0" w:before="0" w:line="480" w:lineRule="auto"/>
        <w:jc w:val="center"/>
      </w:pPr>
      <w:r>
        <w:rPr>
          <w:rFonts w:ascii="Times New Roman" w:cs="Times New Roman" w:eastAsia="Times New Roman" w:hAnsi="Times New Roman"/>
          <w:b w:val="false"/>
          <w:bCs w:val="false"/>
          <w:i w:val="false"/>
          <w:iCs w:val="false"/>
          <w:caps w:val="false"/>
          <w:sz w:val="24"/>
          <w:szCs w:val="24"/>
        </w:rPr>
        <w:t xml:space="preserve">In the matter between:</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tabs>
          <w:tab w:val="right" w:pos="8666"/>
        </w:tabs>
        <w:spacing w:after="0" w:before="0" w:line="480" w:lineRule="auto"/>
      </w:pPr>
      <w:r>
        <w:rPr>
          <w:rFonts w:ascii="Times New Roman" w:cs="Times New Roman" w:eastAsia="Times New Roman" w:hAnsi="Times New Roman"/>
          <w:b/>
          <w:bCs/>
          <w:i w:val="false"/>
          <w:iCs w:val="false"/>
          <w:caps w:val="false"/>
          <w:sz w:val="24"/>
          <w:szCs w:val="24"/>
        </w:rPr>
        <w:t xml:space="preserve">AFROCENTRIC INVESTMENT CORPORATION LIMITED</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iCs/>
          <w:caps w:val="false"/>
          <w:sz w:val="24"/>
          <w:szCs w:val="24"/>
        </w:rPr>
        <w:t xml:space="preserve">Applicant</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spacing w:after="0" w:before="0" w:line="480" w:lineRule="auto"/>
        <w:jc w:val="center"/>
      </w:pPr>
      <w:r>
        <w:rPr>
          <w:rFonts w:ascii="Times New Roman" w:cs="Times New Roman" w:eastAsia="Times New Roman" w:hAnsi="Times New Roman"/>
          <w:b w:val="false"/>
          <w:bCs w:val="false"/>
          <w:i w:val="false"/>
          <w:iCs w:val="false"/>
          <w:caps w:val="false"/>
          <w:sz w:val="24"/>
          <w:szCs w:val="24"/>
        </w:rPr>
        <w:t xml:space="preserve">and</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tabs>
          <w:tab w:val="right" w:pos="8666"/>
        </w:tabs>
        <w:spacing w:after="0" w:before="0" w:line="480" w:lineRule="auto"/>
      </w:pPr>
      <w:r>
        <w:rPr>
          <w:rFonts w:ascii="Times New Roman" w:cs="Times New Roman" w:eastAsia="Times New Roman" w:hAnsi="Times New Roman"/>
          <w:b/>
          <w:bCs/>
          <w:i w:val="false"/>
          <w:iCs w:val="false"/>
          <w:caps w:val="false"/>
          <w:sz w:val="24"/>
          <w:szCs w:val="24"/>
        </w:rPr>
        <w:t xml:space="preserve">WILBUR WILLIAM MATTHEE</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iCs/>
          <w:caps w:val="false"/>
          <w:sz w:val="24"/>
          <w:szCs w:val="24"/>
        </w:rPr>
        <w:t xml:space="preserve">Respondent</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pBdr>
          <w:bottom w:val="single" w:color="000000" w:sz="6" w:space="4"/>
        </w:pBdr>
        <w:spacing w:after="0" w:before="0" w:line="240" w:lineRule="auto"/>
      </w:pPr>
      <w:r>
        <w:rPr>
          <w:rFonts w:ascii="Times New Roman" w:cs="Times New Roman" w:eastAsia="Times New Roman" w:hAnsi="Times New Roman"/>
          <w:b w:val="false"/>
          <w:bCs w:val="false"/>
          <w:i w:val="false"/>
          <w:iCs w:val="false"/>
          <w:caps w:val="false"/>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spacing w:after="0" w:before="0" w:line="480" w:lineRule="auto"/>
        <w:jc w:val="center"/>
      </w:pPr>
      <w:r>
        <w:rPr>
          <w:rFonts w:ascii="Times New Roman" w:cs="Times New Roman" w:eastAsia="Times New Roman" w:hAnsi="Times New Roman"/>
          <w:b/>
          <w:bCs/>
          <w:i w:val="false"/>
          <w:iCs w:val="false"/>
          <w:caps w:val="false"/>
          <w:sz w:val="24"/>
          <w:szCs w:val="24"/>
          <w:u w:val="single"/>
        </w:rPr>
        <w:t xml:space="preserve">RESPONDENT'S SUPPLEMENTARY ANSWERING AFFIDAVIT</w:t>
      </w:r>
    </w:p>
    <w:p>
      <w:pPr>
        <w:spacing w:after="0" w:before="0" w:line="480" w:lineRule="auto"/>
        <w:jc w:val="center"/>
      </w:pPr>
      <w:r>
        <w:rPr>
          <w:rFonts w:ascii="Times New Roman" w:cs="Times New Roman" w:eastAsia="Times New Roman" w:hAnsi="Times New Roman"/>
          <w:b/>
          <w:bCs/>
          <w:i w:val="false"/>
          <w:iCs w:val="false"/>
          <w:caps w:val="false"/>
          <w:sz w:val="24"/>
          <w:szCs w:val="24"/>
          <w:u w:val="single"/>
        </w:rPr>
        <w:t xml:space="preserve">TO THE APPLICANT'S SUPPLEMENTARY FOUNDING AFFIDAVIT</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pBdr>
          <w:bottom w:val="single" w:color="000000" w:sz="6" w:space="4"/>
        </w:pBdr>
        <w:spacing w:after="0" w:before="0" w:line="240" w:lineRule="auto"/>
      </w:pPr>
      <w:r>
        <w:rPr>
          <w:rFonts w:ascii="Times New Roman" w:cs="Times New Roman" w:eastAsia="Times New Roman" w:hAnsi="Times New Roman"/>
          <w:b w:val="false"/>
          <w:bCs w:val="false"/>
          <w:i w:val="false"/>
          <w:iCs w:val="false"/>
          <w:caps w:val="false"/>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I, the undersigned,</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spacing w:after="0" w:before="0" w:line="480" w:lineRule="auto"/>
        <w:jc w:val="center"/>
      </w:pPr>
      <w:r>
        <w:rPr>
          <w:rFonts w:ascii="Times New Roman" w:cs="Times New Roman" w:eastAsia="Times New Roman" w:hAnsi="Times New Roman"/>
          <w:b/>
          <w:bCs/>
          <w:i w:val="false"/>
          <w:iCs w:val="false"/>
          <w:caps w:val="false"/>
          <w:sz w:val="24"/>
          <w:szCs w:val="24"/>
        </w:rPr>
        <w:t xml:space="preserve">WILBUR WILLIAM MATTHEE</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do hereby make oath and state:</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pBdr>
          <w:bottom w:val="single" w:color="000000" w:sz="4" w:space="4"/>
        </w:pBdr>
        <w:spacing w:after="120" w:before="120" w:line="480" w:lineRule="auto"/>
        <w:jc w:val="center"/>
      </w:pPr>
      <w:r>
        <w:rPr>
          <w:rFonts w:ascii="Times New Roman" w:cs="Times New Roman" w:eastAsia="Times New Roman" w:hAnsi="Times New Roman"/>
          <w:b/>
          <w:bCs/>
          <w:i w:val="false"/>
          <w:iCs w:val="false"/>
          <w:caps/>
          <w:sz w:val="24"/>
          <w:szCs w:val="24"/>
        </w:rPr>
        <w:t xml:space="preserve">1. THE DEPONENT AND STATUS</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tabs>
          <w:tab w:val="left" w:pos="1440"/>
        </w:tabs>
        <w:spacing w:after="0" w:before="0" w:line="480" w:lineRule="auto"/>
        <w:ind w:left="1440" w:hanging="1440"/>
        <w:jc w:val="both"/>
      </w:pPr>
      <w:r>
        <w:rPr>
          <w:rFonts w:ascii="Times New Roman" w:cs="Times New Roman" w:eastAsia="Times New Roman" w:hAnsi="Times New Roman"/>
          <w:b w:val="false"/>
          <w:bCs w:val="false"/>
          <w:i w:val="false"/>
          <w:iCs w:val="false"/>
          <w:caps w:val="false"/>
          <w:sz w:val="24"/>
          <w:szCs w:val="24"/>
        </w:rPr>
        <w:t xml:space="preserve">1.1	</w:t>
      </w:r>
      <w:r>
        <w:rPr>
          <w:rFonts w:ascii="Times New Roman" w:cs="Times New Roman" w:eastAsia="Times New Roman" w:hAnsi="Times New Roman"/>
          <w:b w:val="false"/>
          <w:bCs w:val="false"/>
          <w:i w:val="false"/>
          <w:iCs w:val="false"/>
          <w:caps w:val="false"/>
          <w:sz w:val="24"/>
          <w:szCs w:val="24"/>
        </w:rPr>
        <w:t xml:space="preserve">I am the Respondent in this matter. I am an adult male, a Specialist Registered Nurse, a Health Services Manager holding a Postgraduate Diploma in Health Services Management (NQF Level 8) awarded with distinction, and the founder of Ethic Hawks.</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tabs>
          <w:tab w:val="left" w:pos="1440"/>
        </w:tabs>
        <w:spacing w:after="0" w:before="0" w:line="480" w:lineRule="auto"/>
        <w:ind w:left="1440" w:hanging="1440"/>
        <w:jc w:val="both"/>
      </w:pPr>
      <w:r>
        <w:rPr>
          <w:rFonts w:ascii="Times New Roman" w:cs="Times New Roman" w:eastAsia="Times New Roman" w:hAnsi="Times New Roman"/>
          <w:b w:val="false"/>
          <w:bCs w:val="false"/>
          <w:i w:val="false"/>
          <w:iCs w:val="false"/>
          <w:caps w:val="false"/>
          <w:sz w:val="24"/>
          <w:szCs w:val="24"/>
        </w:rPr>
        <w:t xml:space="preserve">1.2	</w:t>
      </w:r>
      <w:r>
        <w:rPr>
          <w:rFonts w:ascii="Times New Roman" w:cs="Times New Roman" w:eastAsia="Times New Roman" w:hAnsi="Times New Roman"/>
          <w:b w:val="false"/>
          <w:bCs w:val="false"/>
          <w:i w:val="false"/>
          <w:iCs w:val="false"/>
          <w:caps w:val="false"/>
          <w:sz w:val="24"/>
          <w:szCs w:val="24"/>
        </w:rPr>
        <w:t xml:space="preserve">I act in person. The facts contained in this affidavit fall within my personal knowledge, save where the context indicates otherwise, and are both true and correct.</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pBdr>
          <w:bottom w:val="single" w:color="000000" w:sz="4" w:space="4"/>
        </w:pBdr>
        <w:spacing w:after="120" w:before="120" w:line="480" w:lineRule="auto"/>
        <w:jc w:val="center"/>
      </w:pPr>
      <w:r>
        <w:rPr>
          <w:rFonts w:ascii="Times New Roman" w:cs="Times New Roman" w:eastAsia="Times New Roman" w:hAnsi="Times New Roman"/>
          <w:b/>
          <w:bCs/>
          <w:i w:val="false"/>
          <w:iCs w:val="false"/>
          <w:caps/>
          <w:sz w:val="24"/>
          <w:szCs w:val="24"/>
        </w:rPr>
        <w:t xml:space="preserve">2. PURPOSE OF THIS AFFIDAVIT</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tabs>
          <w:tab w:val="left" w:pos="1440"/>
        </w:tabs>
        <w:spacing w:after="0" w:before="0" w:line="480" w:lineRule="auto"/>
        <w:ind w:left="1440" w:hanging="1440"/>
        <w:jc w:val="both"/>
      </w:pPr>
      <w:r>
        <w:rPr>
          <w:rFonts w:ascii="Times New Roman" w:cs="Times New Roman" w:eastAsia="Times New Roman" w:hAnsi="Times New Roman"/>
          <w:b w:val="false"/>
          <w:bCs w:val="false"/>
          <w:i w:val="false"/>
          <w:iCs w:val="false"/>
          <w:caps w:val="false"/>
          <w:sz w:val="24"/>
          <w:szCs w:val="24"/>
        </w:rPr>
        <w:t xml:space="preserve">2.1	</w:t>
      </w:r>
      <w:r>
        <w:rPr>
          <w:rFonts w:ascii="Times New Roman" w:cs="Times New Roman" w:eastAsia="Times New Roman" w:hAnsi="Times New Roman"/>
          <w:b w:val="false"/>
          <w:bCs w:val="false"/>
          <w:i w:val="false"/>
          <w:iCs w:val="false"/>
          <w:caps w:val="false"/>
          <w:sz w:val="24"/>
          <w:szCs w:val="24"/>
        </w:rPr>
        <w:t xml:space="preserve">This affidavit is filed to answer the Applicant's Supplementary Founding Affidavit deposed to by Lebohang Shadi Matsipa Mpumlwana on 4 May 2026.</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tabs>
          <w:tab w:val="left" w:pos="1440"/>
        </w:tabs>
        <w:spacing w:after="0" w:before="0" w:line="480" w:lineRule="auto"/>
        <w:ind w:left="1440" w:hanging="1440"/>
        <w:jc w:val="both"/>
      </w:pPr>
      <w:r>
        <w:rPr>
          <w:rFonts w:ascii="Times New Roman" w:cs="Times New Roman" w:eastAsia="Times New Roman" w:hAnsi="Times New Roman"/>
          <w:b w:val="false"/>
          <w:bCs w:val="false"/>
          <w:i w:val="false"/>
          <w:iCs w:val="false"/>
          <w:caps w:val="false"/>
          <w:sz w:val="24"/>
          <w:szCs w:val="24"/>
        </w:rPr>
        <w:t xml:space="preserve">2.2	</w:t>
      </w:r>
      <w:r>
        <w:rPr>
          <w:rFonts w:ascii="Times New Roman" w:cs="Times New Roman" w:eastAsia="Times New Roman" w:hAnsi="Times New Roman"/>
          <w:b w:val="false"/>
          <w:bCs w:val="false"/>
          <w:i w:val="false"/>
          <w:iCs w:val="false"/>
          <w:caps w:val="false"/>
          <w:sz w:val="24"/>
          <w:szCs w:val="24"/>
        </w:rPr>
        <w:t xml:space="preserve">The primary objective of this affidavit is to expose a fatal corporate "shell game" executed by the Applicant. The Applicant seeks the equitable relief of a final interdict in this Honourable Court while systematically using its subsidiaries to commit perjury, withhold statutory exit documentation, and manipulate jurisdictions across the High Court and the Labour Court.</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tabs>
          <w:tab w:val="left" w:pos="1440"/>
        </w:tabs>
        <w:spacing w:after="0" w:before="0" w:line="480" w:lineRule="auto"/>
        <w:ind w:left="1440" w:hanging="1440"/>
        <w:jc w:val="both"/>
      </w:pPr>
      <w:r>
        <w:rPr>
          <w:rFonts w:ascii="Times New Roman" w:cs="Times New Roman" w:eastAsia="Times New Roman" w:hAnsi="Times New Roman"/>
          <w:b w:val="false"/>
          <w:bCs w:val="false"/>
          <w:i w:val="false"/>
          <w:iCs w:val="false"/>
          <w:caps w:val="false"/>
          <w:sz w:val="24"/>
          <w:szCs w:val="24"/>
        </w:rPr>
        <w:t xml:space="preserve">2.3	</w:t>
      </w:r>
      <w:r>
        <w:rPr>
          <w:rFonts w:ascii="Times New Roman" w:cs="Times New Roman" w:eastAsia="Times New Roman" w:hAnsi="Times New Roman"/>
          <w:b w:val="false"/>
          <w:bCs w:val="false"/>
          <w:i w:val="false"/>
          <w:iCs w:val="false"/>
          <w:caps w:val="false"/>
          <w:sz w:val="24"/>
          <w:szCs w:val="24"/>
        </w:rPr>
        <w:t xml:space="preserve">This affidavit incorporates a comprehensive Bare Denials Analysis and an itemised Schedule of Perjuries and Corporate Misrepresentations that strip the Applicant of standing (locus standi) and the requisite "Clean Hands" required for a final interdict.</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pBdr>
          <w:bottom w:val="single" w:color="000000" w:sz="4" w:space="4"/>
        </w:pBdr>
        <w:spacing w:after="120" w:before="120" w:line="480" w:lineRule="auto"/>
        <w:jc w:val="center"/>
      </w:pPr>
      <w:r>
        <w:rPr>
          <w:rFonts w:ascii="Times New Roman" w:cs="Times New Roman" w:eastAsia="Times New Roman" w:hAnsi="Times New Roman"/>
          <w:b/>
          <w:bCs/>
          <w:i w:val="false"/>
          <w:iCs w:val="false"/>
          <w:caps/>
          <w:sz w:val="24"/>
          <w:szCs w:val="24"/>
        </w:rPr>
        <w:t xml:space="preserve">3. PRELIMINARY LEGAL OBJECTION: LACK OF LOCUS STANDI &amp; UNCLEAN HANDS</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tabs>
          <w:tab w:val="left" w:pos="1440"/>
        </w:tabs>
        <w:spacing w:after="0" w:before="0" w:line="480" w:lineRule="auto"/>
        <w:ind w:left="1440" w:hanging="1440"/>
        <w:jc w:val="both"/>
      </w:pPr>
      <w:r>
        <w:rPr>
          <w:rFonts w:ascii="Times New Roman" w:cs="Times New Roman" w:eastAsia="Times New Roman" w:hAnsi="Times New Roman"/>
          <w:b w:val="false"/>
          <w:bCs w:val="false"/>
          <w:i w:val="false"/>
          <w:iCs w:val="false"/>
          <w:caps w:val="false"/>
          <w:sz w:val="24"/>
          <w:szCs w:val="24"/>
        </w:rPr>
        <w:t xml:space="preserve">3.1	</w:t>
      </w:r>
      <w:r>
        <w:rPr>
          <w:rFonts w:ascii="Times New Roman" w:cs="Times New Roman" w:eastAsia="Times New Roman" w:hAnsi="Times New Roman"/>
          <w:b w:val="false"/>
          <w:bCs w:val="false"/>
          <w:i w:val="false"/>
          <w:iCs w:val="false"/>
          <w:caps w:val="false"/>
          <w:sz w:val="24"/>
          <w:szCs w:val="24"/>
        </w:rPr>
        <w:t xml:space="preserve">The Applicant, AfroCentric Investment Corporation Limited, is a listed holding company. Throughout its Supplementary Affidavit, the Applicant asserts that the Respondent was employed exclusively by a separate, distinct subsidiary: Medscheme Holdings (Pty) Ltd.</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tabs>
          <w:tab w:val="left" w:pos="1440"/>
        </w:tabs>
        <w:spacing w:after="0" w:before="0" w:line="480" w:lineRule="auto"/>
        <w:ind w:left="1440" w:hanging="1440"/>
        <w:jc w:val="both"/>
      </w:pPr>
      <w:r>
        <w:rPr>
          <w:rFonts w:ascii="Times New Roman" w:cs="Times New Roman" w:eastAsia="Times New Roman" w:hAnsi="Times New Roman"/>
          <w:b w:val="false"/>
          <w:bCs w:val="false"/>
          <w:i w:val="false"/>
          <w:iCs w:val="false"/>
          <w:caps w:val="false"/>
          <w:sz w:val="24"/>
          <w:szCs w:val="24"/>
        </w:rPr>
        <w:t xml:space="preserve">3.2	</w:t>
      </w:r>
      <w:r>
        <w:rPr>
          <w:rFonts w:ascii="Times New Roman" w:cs="Times New Roman" w:eastAsia="Times New Roman" w:hAnsi="Times New Roman"/>
          <w:b w:val="false"/>
          <w:bCs w:val="false"/>
          <w:i w:val="false"/>
          <w:iCs w:val="false"/>
          <w:caps w:val="false"/>
          <w:sz w:val="24"/>
          <w:szCs w:val="24"/>
        </w:rPr>
        <w:t xml:space="preserve">Paradoxically, the Applicant seeks a final interdict to suppress disclosures regarding systemic clinical and payroll integration gaps (the Gexus/DMS architectural flaws) on the basis that it has a "clear right" to protect proprietary operational systems.</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tabs>
          <w:tab w:val="left" w:pos="1440"/>
        </w:tabs>
        <w:spacing w:after="0" w:before="0" w:line="480" w:lineRule="auto"/>
        <w:ind w:left="1440" w:hanging="1440"/>
        <w:jc w:val="both"/>
      </w:pPr>
      <w:r>
        <w:rPr>
          <w:rFonts w:ascii="Times New Roman" w:cs="Times New Roman" w:eastAsia="Times New Roman" w:hAnsi="Times New Roman"/>
          <w:b w:val="false"/>
          <w:bCs w:val="false"/>
          <w:i w:val="false"/>
          <w:iCs w:val="false"/>
          <w:caps w:val="false"/>
          <w:sz w:val="24"/>
          <w:szCs w:val="24"/>
        </w:rPr>
        <w:t xml:space="preserve">3.3	</w:t>
      </w:r>
      <w:r>
        <w:rPr>
          <w:rFonts w:ascii="Times New Roman" w:cs="Times New Roman" w:eastAsia="Times New Roman" w:hAnsi="Times New Roman"/>
          <w:b w:val="false"/>
          <w:bCs w:val="false"/>
          <w:i w:val="false"/>
          <w:iCs w:val="false"/>
          <w:caps w:val="false"/>
          <w:sz w:val="24"/>
          <w:szCs w:val="24"/>
        </w:rPr>
        <w:t xml:space="preserve">The Applicant cannot have it both ways. If the underlying employment relationship, operational configurations, and statutory liabilities belong exclusively to Medscheme Holdings (Pty) Ltd to shield the holding company from liability, then the Applicant lacks the direct, substantial legal interest (locus standi) to seek a final interdict in its own name.</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tabs>
          <w:tab w:val="left" w:pos="1440"/>
        </w:tabs>
        <w:spacing w:after="0" w:before="0" w:line="480" w:lineRule="auto"/>
        <w:ind w:left="1440" w:hanging="1440"/>
        <w:jc w:val="both"/>
      </w:pPr>
      <w:r>
        <w:rPr>
          <w:rFonts w:ascii="Times New Roman" w:cs="Times New Roman" w:eastAsia="Times New Roman" w:hAnsi="Times New Roman"/>
          <w:b w:val="false"/>
          <w:bCs w:val="false"/>
          <w:i w:val="false"/>
          <w:iCs w:val="false"/>
          <w:caps w:val="false"/>
          <w:sz w:val="24"/>
          <w:szCs w:val="24"/>
        </w:rPr>
        <w:t xml:space="preserve">3.4	</w:t>
      </w:r>
      <w:r>
        <w:rPr>
          <w:rFonts w:ascii="Times New Roman" w:cs="Times New Roman" w:eastAsia="Times New Roman" w:hAnsi="Times New Roman"/>
          <w:b w:val="false"/>
          <w:bCs w:val="false"/>
          <w:i w:val="false"/>
          <w:iCs w:val="false"/>
          <w:caps w:val="false"/>
          <w:sz w:val="24"/>
          <w:szCs w:val="24"/>
        </w:rPr>
        <w:t xml:space="preserve">Furthermore, the Applicant approaches this court with "unclean hands." On 19 May 2026, corporate officials acting on behalf of the group filed a Statement of Response in the Labour Court (Case No: 2026-083299 / 2026-077546) stating under oath that they have "no knowledge" of these parallel proceedings. This directly contradicts the Group CEO Gerald Neville Van Wyk's High Court founding affidavit of 16 April 2026, which explicitly acknowledges the Labour Court litigation. This constitutes deliberate perjury across courts to mislead judicial officers.</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pBdr>
          <w:bottom w:val="single" w:color="000000" w:sz="6" w:space="4"/>
        </w:pBdr>
        <w:spacing w:after="0" w:before="0" w:line="240" w:lineRule="auto"/>
      </w:pPr>
      <w:r>
        <w:rPr>
          <w:rFonts w:ascii="Times New Roman" w:cs="Times New Roman" w:eastAsia="Times New Roman" w:hAnsi="Times New Roman"/>
          <w:b w:val="false"/>
          <w:bCs w:val="false"/>
          <w:i w:val="false"/>
          <w:iCs w:val="false"/>
          <w:caps w:val="false"/>
          <w:sz w:val="24"/>
          <w:szCs w:val="24"/>
        </w:rPr>
        <w:t xml:space="preserve"/>
      </w:r>
    </w:p>
    <w:p>
      <w:pPr>
        <w:pBdr>
          <w:bottom w:val="single" w:color="000000" w:sz="4" w:space="4"/>
        </w:pBdr>
        <w:spacing w:after="120" w:before="120" w:line="480" w:lineRule="auto"/>
        <w:jc w:val="center"/>
      </w:pPr>
      <w:r>
        <w:rPr>
          <w:rFonts w:ascii="Times New Roman" w:cs="Times New Roman" w:eastAsia="Times New Roman" w:hAnsi="Times New Roman"/>
          <w:b/>
          <w:bCs/>
          <w:i w:val="false"/>
          <w:iCs w:val="false"/>
          <w:caps/>
          <w:sz w:val="24"/>
          <w:szCs w:val="24"/>
        </w:rPr>
        <w:t xml:space="preserve">SECTION B: CONTRADICTION OF STATEMENTS REGARDING SERVICE AND FILING</w:t>
      </w:r>
    </w:p>
    <w:p>
      <w:pPr>
        <w:pBdr>
          <w:bottom w:val="single" w:color="000000" w:sz="6" w:space="4"/>
        </w:pBdr>
        <w:spacing w:after="0" w:before="0" w:line="240" w:lineRule="auto"/>
      </w:pPr>
      <w:r>
        <w:rPr>
          <w:rFonts w:ascii="Times New Roman" w:cs="Times New Roman" w:eastAsia="Times New Roman" w:hAnsi="Times New Roman"/>
          <w:b w:val="false"/>
          <w:bCs w:val="false"/>
          <w:i w:val="false"/>
          <w:iCs w:val="false"/>
          <w:caps w:val="false"/>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pBdr>
          <w:bottom w:val="single" w:color="000000" w:sz="4" w:space="4"/>
        </w:pBdr>
        <w:spacing w:after="120" w:before="120" w:line="480" w:lineRule="auto"/>
        <w:jc w:val="center"/>
      </w:pPr>
      <w:r>
        <w:rPr>
          <w:rFonts w:ascii="Times New Roman" w:cs="Times New Roman" w:eastAsia="Times New Roman" w:hAnsi="Times New Roman"/>
          <w:b/>
          <w:bCs/>
          <w:i w:val="false"/>
          <w:iCs w:val="false"/>
          <w:caps/>
          <w:sz w:val="24"/>
          <w:szCs w:val="24"/>
        </w:rPr>
        <w:t xml:space="preserve">4. REBUTTAL TO THE ALLEGATIONS OF NON-SERVICE AND NON-FILING</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tabs>
          <w:tab w:val="left" w:pos="1440"/>
        </w:tabs>
        <w:spacing w:after="0" w:before="0" w:line="480" w:lineRule="auto"/>
        <w:ind w:left="1440" w:hanging="1440"/>
        <w:jc w:val="both"/>
      </w:pPr>
      <w:r>
        <w:rPr>
          <w:rFonts w:ascii="Times New Roman" w:cs="Times New Roman" w:eastAsia="Times New Roman" w:hAnsi="Times New Roman"/>
          <w:b w:val="false"/>
          <w:bCs w:val="false"/>
          <w:i w:val="false"/>
          <w:iCs w:val="false"/>
          <w:caps w:val="false"/>
          <w:sz w:val="24"/>
          <w:szCs w:val="24"/>
        </w:rPr>
        <w:t xml:space="preserve">4.1	</w:t>
      </w:r>
      <w:r>
        <w:rPr>
          <w:rFonts w:ascii="Times New Roman" w:cs="Times New Roman" w:eastAsia="Times New Roman" w:hAnsi="Times New Roman"/>
          <w:b w:val="false"/>
          <w:bCs w:val="false"/>
          <w:i w:val="false"/>
          <w:iCs w:val="false"/>
          <w:caps w:val="false"/>
          <w:sz w:val="24"/>
          <w:szCs w:val="24"/>
        </w:rPr>
        <w:t xml:space="preserve">In her Supplementary Affidavit, Ms. Mpumlwana paradoxically claims that the Applicant's attorneys (Deneys) "never received" my Notice of Intention to Oppose, while simultaneously admitting that I served my Answering Affidavit and Supplementary Answering Affidavit on them via email.</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tabs>
          <w:tab w:val="left" w:pos="1440"/>
        </w:tabs>
        <w:spacing w:after="0" w:before="0" w:line="480" w:lineRule="auto"/>
        <w:ind w:left="1440" w:hanging="1440"/>
        <w:jc w:val="both"/>
      </w:pPr>
      <w:r>
        <w:rPr>
          <w:rFonts w:ascii="Times New Roman" w:cs="Times New Roman" w:eastAsia="Times New Roman" w:hAnsi="Times New Roman"/>
          <w:b w:val="false"/>
          <w:bCs w:val="false"/>
          <w:i w:val="false"/>
          <w:iCs w:val="false"/>
          <w:caps w:val="false"/>
          <w:sz w:val="24"/>
          <w:szCs w:val="24"/>
        </w:rPr>
        <w:t xml:space="preserve">4.2	</w:t>
      </w:r>
      <w:r>
        <w:rPr>
          <w:rFonts w:ascii="Times New Roman" w:cs="Times New Roman" w:eastAsia="Times New Roman" w:hAnsi="Times New Roman"/>
          <w:b w:val="false"/>
          <w:bCs w:val="false"/>
          <w:i w:val="false"/>
          <w:iCs w:val="false"/>
          <w:caps w:val="false"/>
          <w:sz w:val="24"/>
          <w:szCs w:val="24"/>
        </w:rPr>
        <w:t xml:space="preserve">This is a disingenuous technical maneuver. As a self-represented, indigent litigant facing extreme administrative and financial destitution directly engineered by the Applicant's withholding of my salary and exit levies, I served the papers directly onto the active attorneys of record handling this matter, namely Frances Barker and Jason Whyte.</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tabs>
          <w:tab w:val="left" w:pos="1440"/>
        </w:tabs>
        <w:spacing w:after="0" w:before="0" w:line="480" w:lineRule="auto"/>
        <w:ind w:left="1440" w:hanging="1440"/>
        <w:jc w:val="both"/>
      </w:pPr>
      <w:r>
        <w:rPr>
          <w:rFonts w:ascii="Times New Roman" w:cs="Times New Roman" w:eastAsia="Times New Roman" w:hAnsi="Times New Roman"/>
          <w:b w:val="false"/>
          <w:bCs w:val="false"/>
          <w:i w:val="false"/>
          <w:iCs w:val="false"/>
          <w:caps w:val="false"/>
          <w:sz w:val="24"/>
          <w:szCs w:val="24"/>
        </w:rPr>
        <w:t xml:space="preserve">4.3	</w:t>
      </w:r>
      <w:r>
        <w:rPr>
          <w:rFonts w:ascii="Times New Roman" w:cs="Times New Roman" w:eastAsia="Times New Roman" w:hAnsi="Times New Roman"/>
          <w:b w:val="false"/>
          <w:bCs w:val="false"/>
          <w:i w:val="false"/>
          <w:iCs w:val="false"/>
          <w:caps w:val="false"/>
          <w:sz w:val="24"/>
          <w:szCs w:val="24"/>
        </w:rPr>
        <w:t xml:space="preserve">I furthermore effected filing by directly including the Chief Registrar of this Honourable Court, Ms. Nicola Hanekom, as a co-recipient on the transmission. To claim that my pleadings do not exist or have not been served — while Deneys actively compiles multi-page affidavits and practice notes running to hundreds of pages specifically to answer those very pleadings — is a bad-faith distortion of reality designed to mislead the presiding Judge.</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tabs>
          <w:tab w:val="left" w:pos="1440"/>
        </w:tabs>
        <w:spacing w:after="0" w:before="0" w:line="480" w:lineRule="auto"/>
        <w:ind w:left="1440" w:hanging="1440"/>
        <w:jc w:val="both"/>
      </w:pPr>
      <w:r>
        <w:rPr>
          <w:rFonts w:ascii="Times New Roman" w:cs="Times New Roman" w:eastAsia="Times New Roman" w:hAnsi="Times New Roman"/>
          <w:b w:val="false"/>
          <w:bCs w:val="false"/>
          <w:i w:val="false"/>
          <w:iCs w:val="false"/>
          <w:caps w:val="false"/>
          <w:sz w:val="24"/>
          <w:szCs w:val="24"/>
        </w:rPr>
        <w:t xml:space="preserve">4.4	</w:t>
      </w:r>
      <w:r>
        <w:rPr>
          <w:rFonts w:ascii="Times New Roman" w:cs="Times New Roman" w:eastAsia="Times New Roman" w:hAnsi="Times New Roman"/>
          <w:b w:val="false"/>
          <w:bCs w:val="false"/>
          <w:i w:val="false"/>
          <w:iCs w:val="false"/>
          <w:caps w:val="false"/>
          <w:sz w:val="24"/>
          <w:szCs w:val="24"/>
        </w:rPr>
        <w:t xml:space="preserve">The Applicant attempts to leverage systemic administrative hurdles and Court Online synchronization latencies to suppress a substantive whistleblowing and human rights defence. This constitutes a severe violation of my constitutional right to a fair hearing and access to courts under Section 34 of the Constitution.</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pBdr>
          <w:bottom w:val="single" w:color="000000" w:sz="6" w:space="4"/>
        </w:pBdr>
        <w:spacing w:after="0" w:before="0" w:line="240" w:lineRule="auto"/>
      </w:pPr>
      <w:r>
        <w:rPr>
          <w:rFonts w:ascii="Times New Roman" w:cs="Times New Roman" w:eastAsia="Times New Roman" w:hAnsi="Times New Roman"/>
          <w:b w:val="false"/>
          <w:bCs w:val="false"/>
          <w:i w:val="false"/>
          <w:iCs w:val="false"/>
          <w:caps w:val="false"/>
          <w:sz w:val="24"/>
          <w:szCs w:val="24"/>
        </w:rPr>
        <w:t xml:space="preserve"/>
      </w:r>
    </w:p>
    <w:p>
      <w:pPr>
        <w:pBdr>
          <w:bottom w:val="single" w:color="000000" w:sz="4" w:space="4"/>
        </w:pBdr>
        <w:spacing w:after="120" w:before="120" w:line="480" w:lineRule="auto"/>
        <w:jc w:val="center"/>
      </w:pPr>
      <w:r>
        <w:rPr>
          <w:rFonts w:ascii="Times New Roman" w:cs="Times New Roman" w:eastAsia="Times New Roman" w:hAnsi="Times New Roman"/>
          <w:b/>
          <w:bCs/>
          <w:i w:val="false"/>
          <w:iCs w:val="false"/>
          <w:caps/>
          <w:sz w:val="24"/>
          <w:szCs w:val="24"/>
        </w:rPr>
        <w:t xml:space="preserve">SECTION C: REBUTTAL OF THE "WILMA" INCIDENT (GENDER IDENTITY HARASSMENT)</w:t>
      </w:r>
    </w:p>
    <w:p>
      <w:pPr>
        <w:pBdr>
          <w:bottom w:val="single" w:color="000000" w:sz="6" w:space="4"/>
        </w:pBdr>
        <w:spacing w:after="0" w:before="0" w:line="240" w:lineRule="auto"/>
      </w:pPr>
      <w:r>
        <w:rPr>
          <w:rFonts w:ascii="Times New Roman" w:cs="Times New Roman" w:eastAsia="Times New Roman" w:hAnsi="Times New Roman"/>
          <w:b w:val="false"/>
          <w:bCs w:val="false"/>
          <w:i w:val="false"/>
          <w:iCs w:val="false"/>
          <w:caps w:val="false"/>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pBdr>
          <w:bottom w:val="single" w:color="000000" w:sz="4" w:space="4"/>
        </w:pBdr>
        <w:spacing w:after="120" w:before="120" w:line="480" w:lineRule="auto"/>
        <w:jc w:val="center"/>
      </w:pPr>
      <w:r>
        <w:rPr>
          <w:rFonts w:ascii="Times New Roman" w:cs="Times New Roman" w:eastAsia="Times New Roman" w:hAnsi="Times New Roman"/>
          <w:b/>
          <w:bCs/>
          <w:i w:val="false"/>
          <w:iCs w:val="false"/>
          <w:caps/>
          <w:sz w:val="24"/>
          <w:szCs w:val="24"/>
        </w:rPr>
        <w:t xml:space="preserve">5. AD PARAGRAPH 38.1: THE MARY-ANN JONES INCIDENT</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tabs>
          <w:tab w:val="left" w:pos="1440"/>
        </w:tabs>
        <w:spacing w:after="0" w:before="0" w:line="480" w:lineRule="auto"/>
        <w:ind w:left="1440" w:hanging="1440"/>
        <w:jc w:val="both"/>
      </w:pPr>
      <w:r>
        <w:rPr>
          <w:rFonts w:ascii="Times New Roman" w:cs="Times New Roman" w:eastAsia="Times New Roman" w:hAnsi="Times New Roman"/>
          <w:b w:val="false"/>
          <w:bCs w:val="false"/>
          <w:i w:val="false"/>
          <w:iCs w:val="false"/>
          <w:caps w:val="false"/>
          <w:sz w:val="24"/>
          <w:szCs w:val="24"/>
        </w:rPr>
        <w:t xml:space="preserve">5.1	</w:t>
      </w:r>
      <w:r>
        <w:rPr>
          <w:rFonts w:ascii="Times New Roman" w:cs="Times New Roman" w:eastAsia="Times New Roman" w:hAnsi="Times New Roman"/>
          <w:b w:val="false"/>
          <w:bCs w:val="false"/>
          <w:i w:val="false"/>
          <w:iCs w:val="false"/>
          <w:caps w:val="false"/>
          <w:sz w:val="24"/>
          <w:szCs w:val="24"/>
        </w:rPr>
        <w:t xml:space="preserve">In Paragraph 38.1, Ms. Mpumlwana misrepresents the facts surrounding the Microsoft Teams incident involving my former team leader, Mary-Ann Jones. The Applicant claims that the alteration of my name from "Wilbur" to "Wilma" was a simple typographical error, that I "laughed it off," and that I am now retroactively characterising this as gender identity discrimination as an afterthought for the Labour Court roll.</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tabs>
          <w:tab w:val="left" w:pos="1440"/>
        </w:tabs>
        <w:spacing w:after="0" w:before="0" w:line="480" w:lineRule="auto"/>
        <w:ind w:left="1440" w:hanging="1440"/>
        <w:jc w:val="both"/>
      </w:pPr>
      <w:r>
        <w:rPr>
          <w:rFonts w:ascii="Times New Roman" w:cs="Times New Roman" w:eastAsia="Times New Roman" w:hAnsi="Times New Roman"/>
          <w:b w:val="false"/>
          <w:bCs w:val="false"/>
          <w:i w:val="false"/>
          <w:iCs w:val="false"/>
          <w:caps w:val="false"/>
          <w:sz w:val="24"/>
          <w:szCs w:val="24"/>
        </w:rPr>
        <w:t xml:space="preserve">5.2	</w:t>
      </w:r>
      <w:r>
        <w:rPr>
          <w:rFonts w:ascii="Times New Roman" w:cs="Times New Roman" w:eastAsia="Times New Roman" w:hAnsi="Times New Roman"/>
          <w:b w:val="false"/>
          <w:bCs w:val="false"/>
          <w:i w:val="false"/>
          <w:iCs w:val="false"/>
          <w:caps w:val="false"/>
          <w:sz w:val="24"/>
          <w:szCs w:val="24"/>
        </w:rPr>
        <w:t xml:space="preserve">This is flatly untrue. I explicitly identified and called out this incident as a form of gender-based harassment and identity discrimination on the very day it occurred. It was never "laughed off" as an innocent joke; it was experienced and documented as a direct, hostile degradation of my identity within the workplace.</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tabs>
          <w:tab w:val="left" w:pos="1440"/>
        </w:tabs>
        <w:spacing w:after="0" w:before="0" w:line="480" w:lineRule="auto"/>
        <w:ind w:left="1440" w:hanging="1440"/>
        <w:jc w:val="both"/>
      </w:pPr>
      <w:r>
        <w:rPr>
          <w:rFonts w:ascii="Times New Roman" w:cs="Times New Roman" w:eastAsia="Times New Roman" w:hAnsi="Times New Roman"/>
          <w:b w:val="false"/>
          <w:bCs w:val="false"/>
          <w:i w:val="false"/>
          <w:iCs w:val="false"/>
          <w:caps w:val="false"/>
          <w:sz w:val="24"/>
          <w:szCs w:val="24"/>
        </w:rPr>
        <w:t xml:space="preserve">5.3	</w:t>
      </w:r>
      <w:r>
        <w:rPr>
          <w:rFonts w:ascii="Times New Roman" w:cs="Times New Roman" w:eastAsia="Times New Roman" w:hAnsi="Times New Roman"/>
          <w:b w:val="false"/>
          <w:bCs w:val="false"/>
          <w:i w:val="false"/>
          <w:iCs w:val="false"/>
          <w:caps w:val="false"/>
          <w:sz w:val="24"/>
          <w:szCs w:val="24"/>
        </w:rPr>
        <w:t xml:space="preserve">The Applicant's internal HR department (via Ms. Mashele) attempted to paper over this event by circulating an email declaring the matter "resolved internally" following a forced apology. In reality, this event marked the initiation of a continuous, compounding pattern of institutional victimization, professional downgrading, and psychological hostility that escalated immediately after I refused to stay silent regarding the Gexus/DMS structural failures. It remains a core component of my ongoing occupational detriment claim.</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pBdr>
          <w:bottom w:val="single" w:color="000000" w:sz="6" w:space="4"/>
        </w:pBdr>
        <w:spacing w:after="0" w:before="0" w:line="240" w:lineRule="auto"/>
      </w:pPr>
      <w:r>
        <w:rPr>
          <w:rFonts w:ascii="Times New Roman" w:cs="Times New Roman" w:eastAsia="Times New Roman" w:hAnsi="Times New Roman"/>
          <w:b w:val="false"/>
          <w:bCs w:val="false"/>
          <w:i w:val="false"/>
          <w:iCs w:val="false"/>
          <w:caps w:val="false"/>
          <w:sz w:val="24"/>
          <w:szCs w:val="24"/>
        </w:rPr>
        <w:t xml:space="preserve"/>
      </w:r>
    </w:p>
    <w:p>
      <w:pPr>
        <w:pBdr>
          <w:bottom w:val="single" w:color="000000" w:sz="4" w:space="4"/>
        </w:pBdr>
        <w:spacing w:after="120" w:before="120" w:line="480" w:lineRule="auto"/>
        <w:jc w:val="center"/>
      </w:pPr>
      <w:r>
        <w:rPr>
          <w:rFonts w:ascii="Times New Roman" w:cs="Times New Roman" w:eastAsia="Times New Roman" w:hAnsi="Times New Roman"/>
          <w:b/>
          <w:bCs/>
          <w:i w:val="false"/>
          <w:iCs w:val="false"/>
          <w:caps/>
          <w:sz w:val="24"/>
          <w:szCs w:val="24"/>
        </w:rPr>
        <w:t xml:space="preserve">SECTION D: STRIKING OUT THE EASTERN CAPE HIGH COURT DISTRACTION</w:t>
      </w:r>
    </w:p>
    <w:p>
      <w:pPr>
        <w:pBdr>
          <w:bottom w:val="single" w:color="000000" w:sz="6" w:space="4"/>
        </w:pBdr>
        <w:spacing w:after="0" w:before="0" w:line="240" w:lineRule="auto"/>
      </w:pPr>
      <w:r>
        <w:rPr>
          <w:rFonts w:ascii="Times New Roman" w:cs="Times New Roman" w:eastAsia="Times New Roman" w:hAnsi="Times New Roman"/>
          <w:b w:val="false"/>
          <w:bCs w:val="false"/>
          <w:i w:val="false"/>
          <w:iCs w:val="false"/>
          <w:caps w:val="false"/>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pBdr>
          <w:bottom w:val="single" w:color="000000" w:sz="4" w:space="4"/>
        </w:pBdr>
        <w:spacing w:after="120" w:before="120" w:line="480" w:lineRule="auto"/>
        <w:jc w:val="center"/>
      </w:pPr>
      <w:r>
        <w:rPr>
          <w:rFonts w:ascii="Times New Roman" w:cs="Times New Roman" w:eastAsia="Times New Roman" w:hAnsi="Times New Roman"/>
          <w:b/>
          <w:bCs/>
          <w:i w:val="false"/>
          <w:iCs w:val="false"/>
          <w:caps/>
          <w:sz w:val="24"/>
          <w:szCs w:val="24"/>
        </w:rPr>
        <w:t xml:space="preserve">6. AD PARAGRAPH 17 / 177: BHISHO HIGH COURT CASE NO. 148/2020</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tabs>
          <w:tab w:val="left" w:pos="1440"/>
        </w:tabs>
        <w:spacing w:after="0" w:before="0" w:line="480" w:lineRule="auto"/>
        <w:ind w:left="1440" w:hanging="1440"/>
        <w:jc w:val="both"/>
      </w:pPr>
      <w:r>
        <w:rPr>
          <w:rFonts w:ascii="Times New Roman" w:cs="Times New Roman" w:eastAsia="Times New Roman" w:hAnsi="Times New Roman"/>
          <w:b w:val="false"/>
          <w:bCs w:val="false"/>
          <w:i w:val="false"/>
          <w:iCs w:val="false"/>
          <w:caps w:val="false"/>
          <w:sz w:val="24"/>
          <w:szCs w:val="24"/>
        </w:rPr>
        <w:t xml:space="preserve">6.1	</w:t>
      </w:r>
      <w:r>
        <w:rPr>
          <w:rFonts w:ascii="Times New Roman" w:cs="Times New Roman" w:eastAsia="Times New Roman" w:hAnsi="Times New Roman"/>
          <w:b w:val="false"/>
          <w:bCs w:val="false"/>
          <w:i w:val="false"/>
          <w:iCs w:val="false"/>
          <w:caps w:val="false"/>
          <w:sz w:val="24"/>
          <w:szCs w:val="24"/>
        </w:rPr>
        <w:t xml:space="preserve">At Paragraph 17 (and/or 177) of her deposition, Ms. Mpumlwana introduces a highly irregular and malicious reference to an old, incomplete matter from the Eastern Cape High Court (Bhisho Division), under Case Number 148/2020, attempting to link it to historical eviction or personal proceedings.</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tabs>
          <w:tab w:val="left" w:pos="1440"/>
        </w:tabs>
        <w:spacing w:after="0" w:before="0" w:line="480" w:lineRule="auto"/>
        <w:ind w:left="1440" w:hanging="1440"/>
        <w:jc w:val="both"/>
      </w:pPr>
      <w:r>
        <w:rPr>
          <w:rFonts w:ascii="Times New Roman" w:cs="Times New Roman" w:eastAsia="Times New Roman" w:hAnsi="Times New Roman"/>
          <w:b w:val="false"/>
          <w:bCs w:val="false"/>
          <w:i w:val="false"/>
          <w:iCs w:val="false"/>
          <w:caps w:val="false"/>
          <w:sz w:val="24"/>
          <w:szCs w:val="24"/>
        </w:rPr>
        <w:t xml:space="preserve">6.2	</w:t>
      </w:r>
      <w:r>
        <w:rPr>
          <w:rFonts w:ascii="Times New Roman" w:cs="Times New Roman" w:eastAsia="Times New Roman" w:hAnsi="Times New Roman"/>
          <w:b w:val="false"/>
          <w:bCs w:val="false"/>
          <w:i w:val="false"/>
          <w:iCs w:val="false"/>
          <w:caps w:val="false"/>
          <w:sz w:val="24"/>
          <w:szCs w:val="24"/>
        </w:rPr>
        <w:t xml:space="preserve">I object in the strongest possible legal terms to this inclusion and request that this Honourable Court strike it out as scandalous, vexatious, and completely irrelevant in terms of Rule 6(15) of the Uniform Rules of Court.</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tabs>
          <w:tab w:val="left" w:pos="1440"/>
        </w:tabs>
        <w:spacing w:after="0" w:before="0" w:line="480" w:lineRule="auto"/>
        <w:ind w:left="1440" w:hanging="1440"/>
        <w:jc w:val="both"/>
      </w:pPr>
      <w:r>
        <w:rPr>
          <w:rFonts w:ascii="Times New Roman" w:cs="Times New Roman" w:eastAsia="Times New Roman" w:hAnsi="Times New Roman"/>
          <w:b w:val="false"/>
          <w:bCs w:val="false"/>
          <w:i w:val="false"/>
          <w:iCs w:val="false"/>
          <w:caps w:val="false"/>
          <w:sz w:val="24"/>
          <w:szCs w:val="24"/>
        </w:rPr>
        <w:t xml:space="preserve">6.3	</w:t>
      </w:r>
      <w:r>
        <w:rPr>
          <w:rFonts w:ascii="Times New Roman" w:cs="Times New Roman" w:eastAsia="Times New Roman" w:hAnsi="Times New Roman"/>
          <w:b w:val="false"/>
          <w:bCs w:val="false"/>
          <w:i w:val="false"/>
          <w:iCs w:val="false"/>
          <w:caps w:val="false"/>
          <w:sz w:val="24"/>
          <w:szCs w:val="24"/>
        </w:rPr>
        <w:t xml:space="preserve">The historical Bhisho matter has absolutely zero legal or factual relevance to the current clinical governance failures, data architectural leaks, statutory payroll fraud, or whistleblowing disclosures concerning the Gexus/DMS systems in Cape Town.</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tabs>
          <w:tab w:val="left" w:pos="1440"/>
        </w:tabs>
        <w:spacing w:after="0" w:before="0" w:line="480" w:lineRule="auto"/>
        <w:ind w:left="1440" w:hanging="1440"/>
        <w:jc w:val="both"/>
      </w:pPr>
      <w:r>
        <w:rPr>
          <w:rFonts w:ascii="Times New Roman" w:cs="Times New Roman" w:eastAsia="Times New Roman" w:hAnsi="Times New Roman"/>
          <w:b w:val="false"/>
          <w:bCs w:val="false"/>
          <w:i w:val="false"/>
          <w:iCs w:val="false"/>
          <w:caps w:val="false"/>
          <w:sz w:val="24"/>
          <w:szCs w:val="24"/>
        </w:rPr>
        <w:t xml:space="preserve">6.4	</w:t>
      </w:r>
      <w:r>
        <w:rPr>
          <w:rFonts w:ascii="Times New Roman" w:cs="Times New Roman" w:eastAsia="Times New Roman" w:hAnsi="Times New Roman"/>
          <w:b w:val="false"/>
          <w:bCs w:val="false"/>
          <w:i w:val="false"/>
          <w:iCs w:val="false"/>
          <w:caps w:val="false"/>
          <w:sz w:val="24"/>
          <w:szCs w:val="24"/>
        </w:rPr>
        <w:t xml:space="preserve">The Applicant, a multi-billion-rand corporate entity, has dug up this incomplete historical reference for no other purpose than to character-assassinate a vulnerable litigant, inject prejudice into these proceedings, and create further delay to block the court from determining their lack of standing and their own clear statutory non-compliance.</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pBdr>
          <w:bottom w:val="single" w:color="000000" w:sz="6" w:space="4"/>
        </w:pBdr>
        <w:spacing w:after="0" w:before="0" w:line="240" w:lineRule="auto"/>
      </w:pPr>
      <w:r>
        <w:rPr>
          <w:rFonts w:ascii="Times New Roman" w:cs="Times New Roman" w:eastAsia="Times New Roman" w:hAnsi="Times New Roman"/>
          <w:b w:val="false"/>
          <w:bCs w:val="false"/>
          <w:i w:val="false"/>
          <w:iCs w:val="false"/>
          <w:caps w:val="false"/>
          <w:sz w:val="24"/>
          <w:szCs w:val="24"/>
        </w:rPr>
        <w:t xml:space="preserve"/>
      </w:r>
    </w:p>
    <w:p>
      <w:pPr>
        <w:pBdr>
          <w:bottom w:val="single" w:color="000000" w:sz="4" w:space="4"/>
        </w:pBdr>
        <w:spacing w:after="120" w:before="120" w:line="480" w:lineRule="auto"/>
        <w:jc w:val="center"/>
      </w:pPr>
      <w:r>
        <w:rPr>
          <w:rFonts w:ascii="Times New Roman" w:cs="Times New Roman" w:eastAsia="Times New Roman" w:hAnsi="Times New Roman"/>
          <w:b/>
          <w:bCs/>
          <w:i w:val="false"/>
          <w:iCs w:val="false"/>
          <w:caps/>
          <w:sz w:val="24"/>
          <w:szCs w:val="24"/>
        </w:rPr>
        <w:t xml:space="preserve">SECTION E: CONTRADICTION OF STATEMENTS REGARDING PROFESSIONAL TITLE</w:t>
      </w:r>
    </w:p>
    <w:p>
      <w:pPr>
        <w:pBdr>
          <w:bottom w:val="single" w:color="000000" w:sz="6" w:space="4"/>
        </w:pBdr>
        <w:spacing w:after="0" w:before="0" w:line="240" w:lineRule="auto"/>
      </w:pPr>
      <w:r>
        <w:rPr>
          <w:rFonts w:ascii="Times New Roman" w:cs="Times New Roman" w:eastAsia="Times New Roman" w:hAnsi="Times New Roman"/>
          <w:b w:val="false"/>
          <w:bCs w:val="false"/>
          <w:i w:val="false"/>
          <w:iCs w:val="false"/>
          <w:caps w:val="false"/>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pBdr>
          <w:bottom w:val="single" w:color="000000" w:sz="4" w:space="4"/>
        </w:pBdr>
        <w:spacing w:after="120" w:before="120" w:line="480" w:lineRule="auto"/>
        <w:jc w:val="center"/>
      </w:pPr>
      <w:r>
        <w:rPr>
          <w:rFonts w:ascii="Times New Roman" w:cs="Times New Roman" w:eastAsia="Times New Roman" w:hAnsi="Times New Roman"/>
          <w:b/>
          <w:bCs/>
          <w:i w:val="false"/>
          <w:iCs w:val="false"/>
          <w:caps/>
          <w:sz w:val="24"/>
          <w:szCs w:val="24"/>
        </w:rPr>
        <w:t xml:space="preserve">7. THE JOB TITLE MANIPULATION (THE HIGH COURT VS. THE EXIT REALITY)</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tabs>
          <w:tab w:val="left" w:pos="1440"/>
        </w:tabs>
        <w:spacing w:after="0" w:before="0" w:line="480" w:lineRule="auto"/>
        <w:ind w:left="1440" w:hanging="1440"/>
        <w:jc w:val="both"/>
      </w:pPr>
      <w:r>
        <w:rPr>
          <w:rFonts w:ascii="Times New Roman" w:cs="Times New Roman" w:eastAsia="Times New Roman" w:hAnsi="Times New Roman"/>
          <w:b w:val="false"/>
          <w:bCs w:val="false"/>
          <w:i w:val="false"/>
          <w:iCs w:val="false"/>
          <w:caps w:val="false"/>
          <w:sz w:val="24"/>
          <w:szCs w:val="24"/>
        </w:rPr>
        <w:t xml:space="preserve">7.1	</w:t>
      </w:r>
      <w:r>
        <w:rPr>
          <w:rFonts w:ascii="Times New Roman" w:cs="Times New Roman" w:eastAsia="Times New Roman" w:hAnsi="Times New Roman"/>
          <w:b w:val="false"/>
          <w:bCs w:val="false"/>
          <w:i w:val="false"/>
          <w:iCs w:val="false"/>
          <w:caps w:val="false"/>
          <w:sz w:val="24"/>
          <w:szCs w:val="24"/>
        </w:rPr>
        <w:t xml:space="preserve">In her Supplementary Affidavit, Ms. Mpumlwana attempts to gloss over the administrative degradation inflicted upon me. The Applicant's executive structure, including statements supported by the Group CEO, has consistently relied on my senior professional appointment as a "Case Manager" within High Court filings to exaggerate the purported risk I pose regarding internal clinical systems and data management.</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tabs>
          <w:tab w:val="left" w:pos="1440"/>
        </w:tabs>
        <w:spacing w:after="0" w:before="0" w:line="480" w:lineRule="auto"/>
        <w:ind w:left="1440" w:hanging="1440"/>
        <w:jc w:val="both"/>
      </w:pPr>
      <w:r>
        <w:rPr>
          <w:rFonts w:ascii="Times New Roman" w:cs="Times New Roman" w:eastAsia="Times New Roman" w:hAnsi="Times New Roman"/>
          <w:b w:val="false"/>
          <w:bCs w:val="false"/>
          <w:i w:val="false"/>
          <w:iCs w:val="false"/>
          <w:caps w:val="false"/>
          <w:sz w:val="24"/>
          <w:szCs w:val="24"/>
        </w:rPr>
        <w:t xml:space="preserve">7.2	</w:t>
      </w:r>
      <w:r>
        <w:rPr>
          <w:rFonts w:ascii="Times New Roman" w:cs="Times New Roman" w:eastAsia="Times New Roman" w:hAnsi="Times New Roman"/>
          <w:b w:val="false"/>
          <w:bCs w:val="false"/>
          <w:i w:val="false"/>
          <w:iCs w:val="false"/>
          <w:caps w:val="false"/>
          <w:sz w:val="24"/>
          <w:szCs w:val="24"/>
        </w:rPr>
        <w:t xml:space="preserve">However, the objective corporate record tells a completely different, duplicitous story. When executing my exit documentation, the CCMA responses, and the statutory UI-19 forms submitted to the Department of Employment and Labour, the employer intentionally and unilaterally downgraded my professional designation to "Care Coordinator."</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tabs>
          <w:tab w:val="left" w:pos="1440"/>
        </w:tabs>
        <w:spacing w:after="0" w:before="0" w:line="480" w:lineRule="auto"/>
        <w:ind w:left="1440" w:hanging="1440"/>
        <w:jc w:val="both"/>
      </w:pPr>
      <w:r>
        <w:rPr>
          <w:rFonts w:ascii="Times New Roman" w:cs="Times New Roman" w:eastAsia="Times New Roman" w:hAnsi="Times New Roman"/>
          <w:b w:val="false"/>
          <w:bCs w:val="false"/>
          <w:i w:val="false"/>
          <w:iCs w:val="false"/>
          <w:caps w:val="false"/>
          <w:sz w:val="24"/>
          <w:szCs w:val="24"/>
        </w:rPr>
        <w:t xml:space="preserve">7.3	</w:t>
      </w:r>
      <w:r>
        <w:rPr>
          <w:rFonts w:ascii="Times New Roman" w:cs="Times New Roman" w:eastAsia="Times New Roman" w:hAnsi="Times New Roman"/>
          <w:b w:val="false"/>
          <w:bCs w:val="false"/>
          <w:i w:val="false"/>
          <w:iCs w:val="false"/>
          <w:caps w:val="false"/>
          <w:sz w:val="24"/>
          <w:szCs w:val="24"/>
        </w:rPr>
        <w:t xml:space="preserve">This manipulation was not an administrative oversight; it was a calculated attempt to diminish my professional status, downgrade my architectural involvement with the Gexus/DMS platforms, and undermine my institutional credibility before statutory bodies.</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tabs>
          <w:tab w:val="left" w:pos="1440"/>
        </w:tabs>
        <w:spacing w:after="0" w:before="0" w:line="480" w:lineRule="auto"/>
        <w:ind w:left="1440" w:hanging="1440"/>
        <w:jc w:val="both"/>
      </w:pPr>
      <w:r>
        <w:rPr>
          <w:rFonts w:ascii="Times New Roman" w:cs="Times New Roman" w:eastAsia="Times New Roman" w:hAnsi="Times New Roman"/>
          <w:b w:val="false"/>
          <w:bCs w:val="false"/>
          <w:i w:val="false"/>
          <w:iCs w:val="false"/>
          <w:caps w:val="false"/>
          <w:sz w:val="24"/>
          <w:szCs w:val="24"/>
        </w:rPr>
        <w:t xml:space="preserve">7.4	</w:t>
      </w:r>
      <w:r>
        <w:rPr>
          <w:rFonts w:ascii="Times New Roman" w:cs="Times New Roman" w:eastAsia="Times New Roman" w:hAnsi="Times New Roman"/>
          <w:b w:val="false"/>
          <w:bCs w:val="false"/>
          <w:i w:val="false"/>
          <w:iCs w:val="false"/>
          <w:caps w:val="false"/>
          <w:sz w:val="24"/>
          <w:szCs w:val="24"/>
        </w:rPr>
        <w:t xml:space="preserve">The Applicant cannot treat me as a highly placed senior specialist in the High Court for the purpose of painting me as an operational threat, while simultaneously devaluing my title to an administrative subordinate in labour forums to compromise my professional record and frustrate my statutory claims.</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pBdr>
          <w:bottom w:val="single" w:color="000000" w:sz="6" w:space="4"/>
        </w:pBdr>
        <w:spacing w:after="0" w:before="0" w:line="240" w:lineRule="auto"/>
      </w:pPr>
      <w:r>
        <w:rPr>
          <w:rFonts w:ascii="Times New Roman" w:cs="Times New Roman" w:eastAsia="Times New Roman" w:hAnsi="Times New Roman"/>
          <w:b w:val="false"/>
          <w:bCs w:val="false"/>
          <w:i w:val="false"/>
          <w:iCs w:val="false"/>
          <w:caps w:val="false"/>
          <w:sz w:val="24"/>
          <w:szCs w:val="24"/>
        </w:rPr>
        <w:t xml:space="preserve"/>
      </w:r>
    </w:p>
    <w:p>
      <w:pPr>
        <w:pBdr>
          <w:bottom w:val="single" w:color="000000" w:sz="4" w:space="4"/>
        </w:pBdr>
        <w:spacing w:after="120" w:before="120" w:line="480" w:lineRule="auto"/>
        <w:jc w:val="center"/>
      </w:pPr>
      <w:r>
        <w:rPr>
          <w:rFonts w:ascii="Times New Roman" w:cs="Times New Roman" w:eastAsia="Times New Roman" w:hAnsi="Times New Roman"/>
          <w:b/>
          <w:bCs/>
          <w:i w:val="false"/>
          <w:iCs w:val="false"/>
          <w:caps/>
          <w:sz w:val="24"/>
          <w:szCs w:val="24"/>
        </w:rPr>
        <w:t xml:space="preserve">SECTION F: EXPOSING THE DEPUTY INFORMATION OFFICER'S FALSE DECLARATION</w:t>
      </w:r>
    </w:p>
    <w:p>
      <w:pPr>
        <w:pBdr>
          <w:bottom w:val="single" w:color="000000" w:sz="6" w:space="4"/>
        </w:pBdr>
        <w:spacing w:after="0" w:before="0" w:line="240" w:lineRule="auto"/>
      </w:pPr>
      <w:r>
        <w:rPr>
          <w:rFonts w:ascii="Times New Roman" w:cs="Times New Roman" w:eastAsia="Times New Roman" w:hAnsi="Times New Roman"/>
          <w:b w:val="false"/>
          <w:bCs w:val="false"/>
          <w:i w:val="false"/>
          <w:iCs w:val="false"/>
          <w:caps w:val="false"/>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pBdr>
          <w:bottom w:val="single" w:color="000000" w:sz="4" w:space="4"/>
        </w:pBdr>
        <w:spacing w:after="120" w:before="120" w:line="480" w:lineRule="auto"/>
        <w:jc w:val="center"/>
      </w:pPr>
      <w:r>
        <w:rPr>
          <w:rFonts w:ascii="Times New Roman" w:cs="Times New Roman" w:eastAsia="Times New Roman" w:hAnsi="Times New Roman"/>
          <w:b/>
          <w:bCs/>
          <w:i w:val="false"/>
          <w:iCs w:val="false"/>
          <w:caps/>
          <w:sz w:val="24"/>
          <w:szCs w:val="24"/>
        </w:rPr>
        <w:t xml:space="preserve">8. THE GEXUS/DMS SYSTEMIC INTEGRATION PERJURY</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tabs>
          <w:tab w:val="left" w:pos="1440"/>
        </w:tabs>
        <w:spacing w:after="0" w:before="0" w:line="480" w:lineRule="auto"/>
        <w:ind w:left="1440" w:hanging="1440"/>
        <w:jc w:val="both"/>
      </w:pPr>
      <w:r>
        <w:rPr>
          <w:rFonts w:ascii="Times New Roman" w:cs="Times New Roman" w:eastAsia="Times New Roman" w:hAnsi="Times New Roman"/>
          <w:b w:val="false"/>
          <w:bCs w:val="false"/>
          <w:i w:val="false"/>
          <w:iCs w:val="false"/>
          <w:caps w:val="false"/>
          <w:sz w:val="24"/>
          <w:szCs w:val="24"/>
        </w:rPr>
        <w:t xml:space="preserve">8.1	</w:t>
      </w:r>
      <w:r>
        <w:rPr>
          <w:rFonts w:ascii="Times New Roman" w:cs="Times New Roman" w:eastAsia="Times New Roman" w:hAnsi="Times New Roman"/>
          <w:b w:val="false"/>
          <w:bCs w:val="false"/>
          <w:i w:val="false"/>
          <w:iCs w:val="false"/>
          <w:caps w:val="false"/>
          <w:sz w:val="24"/>
          <w:szCs w:val="24"/>
        </w:rPr>
        <w:t xml:space="preserve">A cornerstone of Ms. Mpumlwana's supplementary deposition is her reliance on a statement by the Applicant's Deputy Information Officer, who purports to confirm under oath that no "systemic gap", "architectural vulnerability," or data exposure exists within the Gexus/DMS production environments.</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tabs>
          <w:tab w:val="left" w:pos="1440"/>
        </w:tabs>
        <w:spacing w:after="0" w:before="0" w:line="480" w:lineRule="auto"/>
        <w:ind w:left="1440" w:hanging="1440"/>
        <w:jc w:val="both"/>
      </w:pPr>
      <w:r>
        <w:rPr>
          <w:rFonts w:ascii="Times New Roman" w:cs="Times New Roman" w:eastAsia="Times New Roman" w:hAnsi="Times New Roman"/>
          <w:b w:val="false"/>
          <w:bCs w:val="false"/>
          <w:i w:val="false"/>
          <w:iCs w:val="false"/>
          <w:caps w:val="false"/>
          <w:sz w:val="24"/>
          <w:szCs w:val="24"/>
        </w:rPr>
        <w:t xml:space="preserve">8.2	</w:t>
      </w:r>
      <w:r>
        <w:rPr>
          <w:rFonts w:ascii="Times New Roman" w:cs="Times New Roman" w:eastAsia="Times New Roman" w:hAnsi="Times New Roman"/>
          <w:b w:val="false"/>
          <w:bCs w:val="false"/>
          <w:i w:val="false"/>
          <w:iCs w:val="false"/>
          <w:caps w:val="false"/>
          <w:sz w:val="24"/>
          <w:szCs w:val="24"/>
        </w:rPr>
        <w:t xml:space="preserve">This statement is patently false and constitutes a direct attempt to mislead this Honourable Court on a matter impacting public health data integrity and billions of Rands in systemic financial leakage (specifically regarding the Mahlangu RCA / APN 303 validation failures).</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tabs>
          <w:tab w:val="left" w:pos="1440"/>
        </w:tabs>
        <w:spacing w:after="0" w:before="0" w:line="480" w:lineRule="auto"/>
        <w:ind w:left="1440" w:hanging="1440"/>
        <w:jc w:val="both"/>
      </w:pPr>
      <w:r>
        <w:rPr>
          <w:rFonts w:ascii="Times New Roman" w:cs="Times New Roman" w:eastAsia="Times New Roman" w:hAnsi="Times New Roman"/>
          <w:b w:val="false"/>
          <w:bCs w:val="false"/>
          <w:i w:val="false"/>
          <w:iCs w:val="false"/>
          <w:caps w:val="false"/>
          <w:sz w:val="24"/>
          <w:szCs w:val="24"/>
        </w:rPr>
        <w:t xml:space="preserve">8.3	</w:t>
      </w:r>
      <w:r>
        <w:rPr>
          <w:rFonts w:ascii="Times New Roman" w:cs="Times New Roman" w:eastAsia="Times New Roman" w:hAnsi="Times New Roman"/>
          <w:b w:val="false"/>
          <w:bCs w:val="false"/>
          <w:i w:val="false"/>
          <w:iCs w:val="false"/>
          <w:caps w:val="false"/>
          <w:sz w:val="24"/>
          <w:szCs w:val="24"/>
        </w:rPr>
        <w:t xml:space="preserve">As a Specialist Nurse and Health Services Manager who actively operated within these environments, I recorded and escalated verified integration blind spots where medical scheme member data, clinical validation flags, and payroll deductions fail to synchronize accurately.</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tabs>
          <w:tab w:val="left" w:pos="1440"/>
        </w:tabs>
        <w:spacing w:after="0" w:before="0" w:line="480" w:lineRule="auto"/>
        <w:ind w:left="1440" w:hanging="1440"/>
        <w:jc w:val="both"/>
      </w:pPr>
      <w:r>
        <w:rPr>
          <w:rFonts w:ascii="Times New Roman" w:cs="Times New Roman" w:eastAsia="Times New Roman" w:hAnsi="Times New Roman"/>
          <w:b w:val="false"/>
          <w:bCs w:val="false"/>
          <w:i w:val="false"/>
          <w:iCs w:val="false"/>
          <w:caps w:val="false"/>
          <w:sz w:val="24"/>
          <w:szCs w:val="24"/>
        </w:rPr>
        <w:t xml:space="preserve">8.4	</w:t>
      </w:r>
      <w:r>
        <w:rPr>
          <w:rFonts w:ascii="Times New Roman" w:cs="Times New Roman" w:eastAsia="Times New Roman" w:hAnsi="Times New Roman"/>
          <w:b w:val="false"/>
          <w:bCs w:val="false"/>
          <w:i w:val="false"/>
          <w:iCs w:val="false"/>
          <w:caps w:val="false"/>
          <w:sz w:val="24"/>
          <w:szCs w:val="24"/>
        </w:rPr>
        <w:t xml:space="preserve">By putting forward a blanket denial through the Deputy Information Officer, the Applicant is using an oath to execute a corporate cover-up of a known data and financial risk. They seek a final interdict to suppress a Protected Disclosure under the guise of protecting proprietary secrets, when in truth they are concealing structural non-compliance with the Protection of Personal Information Act 4 of 2013 ("POPIA").</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pBdr>
          <w:bottom w:val="single" w:color="000000" w:sz="6" w:space="4"/>
        </w:pBdr>
        <w:spacing w:after="0" w:before="0" w:line="240" w:lineRule="auto"/>
      </w:pPr>
      <w:r>
        <w:rPr>
          <w:rFonts w:ascii="Times New Roman" w:cs="Times New Roman" w:eastAsia="Times New Roman" w:hAnsi="Times New Roman"/>
          <w:b w:val="false"/>
          <w:bCs w:val="false"/>
          <w:i w:val="false"/>
          <w:iCs w:val="false"/>
          <w:caps w:val="false"/>
          <w:sz w:val="24"/>
          <w:szCs w:val="24"/>
        </w:rPr>
        <w:t xml:space="preserve"/>
      </w:r>
    </w:p>
    <w:p>
      <w:pPr>
        <w:pBdr>
          <w:bottom w:val="single" w:color="000000" w:sz="4" w:space="4"/>
        </w:pBdr>
        <w:spacing w:after="120" w:before="120" w:line="480" w:lineRule="auto"/>
        <w:jc w:val="center"/>
      </w:pPr>
      <w:r>
        <w:rPr>
          <w:rFonts w:ascii="Times New Roman" w:cs="Times New Roman" w:eastAsia="Times New Roman" w:hAnsi="Times New Roman"/>
          <w:b/>
          <w:bCs/>
          <w:i w:val="false"/>
          <w:iCs w:val="false"/>
          <w:caps/>
          <w:sz w:val="24"/>
          <w:szCs w:val="24"/>
        </w:rPr>
        <w:t xml:space="preserve">SECTION G: AD SERIATIM RESPONSES</w:t>
      </w:r>
    </w:p>
    <w:p>
      <w:pPr>
        <w:pBdr>
          <w:bottom w:val="single" w:color="000000" w:sz="6" w:space="4"/>
        </w:pBdr>
        <w:spacing w:after="0" w:before="0" w:line="240" w:lineRule="auto"/>
      </w:pPr>
      <w:r>
        <w:rPr>
          <w:rFonts w:ascii="Times New Roman" w:cs="Times New Roman" w:eastAsia="Times New Roman" w:hAnsi="Times New Roman"/>
          <w:b w:val="false"/>
          <w:bCs w:val="false"/>
          <w:i w:val="false"/>
          <w:iCs w:val="false"/>
          <w:caps w:val="false"/>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pBdr>
          <w:bottom w:val="single" w:color="000000" w:sz="4" w:space="4"/>
        </w:pBdr>
        <w:spacing w:after="120" w:before="120" w:line="480" w:lineRule="auto"/>
        <w:jc w:val="center"/>
      </w:pPr>
      <w:r>
        <w:rPr>
          <w:rFonts w:ascii="Times New Roman" w:cs="Times New Roman" w:eastAsia="Times New Roman" w:hAnsi="Times New Roman"/>
          <w:b/>
          <w:bCs/>
          <w:i w:val="false"/>
          <w:iCs w:val="false"/>
          <w:caps/>
          <w:sz w:val="24"/>
          <w:szCs w:val="24"/>
        </w:rPr>
        <w:t xml:space="preserve">9. AD PARAGRAPHS 1 TO 4 THEREIN</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tabs>
          <w:tab w:val="left" w:pos="1440"/>
        </w:tabs>
        <w:spacing w:after="0" w:before="0" w:line="480" w:lineRule="auto"/>
        <w:ind w:left="1440" w:hanging="1440"/>
        <w:jc w:val="both"/>
      </w:pPr>
      <w:r>
        <w:rPr>
          <w:rFonts w:ascii="Times New Roman" w:cs="Times New Roman" w:eastAsia="Times New Roman" w:hAnsi="Times New Roman"/>
          <w:b w:val="false"/>
          <w:bCs w:val="false"/>
          <w:i w:val="false"/>
          <w:iCs w:val="false"/>
          <w:caps w:val="false"/>
          <w:sz w:val="24"/>
          <w:szCs w:val="24"/>
        </w:rPr>
        <w:t xml:space="preserve">9.1	</w:t>
      </w:r>
      <w:r>
        <w:rPr>
          <w:rFonts w:ascii="Times New Roman" w:cs="Times New Roman" w:eastAsia="Times New Roman" w:hAnsi="Times New Roman"/>
          <w:b w:val="false"/>
          <w:bCs w:val="false"/>
          <w:i w:val="false"/>
          <w:iCs w:val="false"/>
          <w:caps w:val="false"/>
          <w:sz w:val="24"/>
          <w:szCs w:val="24"/>
        </w:rPr>
        <w:t xml:space="preserve">The contents of these paragraphs are noted. I specifically deny that Ms. Mpumlwana holds uncontradicted personal knowledge of the operational realities within the subsidiaries, or that she has disclosed the full material facts to this Honourable Court.</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pBdr>
          <w:bottom w:val="single" w:color="000000" w:sz="4" w:space="4"/>
        </w:pBdr>
        <w:spacing w:after="120" w:before="120" w:line="480" w:lineRule="auto"/>
        <w:jc w:val="center"/>
      </w:pPr>
      <w:r>
        <w:rPr>
          <w:rFonts w:ascii="Times New Roman" w:cs="Times New Roman" w:eastAsia="Times New Roman" w:hAnsi="Times New Roman"/>
          <w:b/>
          <w:bCs/>
          <w:i w:val="false"/>
          <w:iCs w:val="false"/>
          <w:caps/>
          <w:sz w:val="24"/>
          <w:szCs w:val="24"/>
        </w:rPr>
        <w:t xml:space="preserve">10. AD PARAGRAPHS 5 TO 10 THEREIN</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tabs>
          <w:tab w:val="left" w:pos="1440"/>
        </w:tabs>
        <w:spacing w:after="0" w:before="0" w:line="480" w:lineRule="auto"/>
        <w:ind w:left="1440" w:hanging="1440"/>
        <w:jc w:val="both"/>
      </w:pPr>
      <w:r>
        <w:rPr>
          <w:rFonts w:ascii="Times New Roman" w:cs="Times New Roman" w:eastAsia="Times New Roman" w:hAnsi="Times New Roman"/>
          <w:b w:val="false"/>
          <w:bCs w:val="false"/>
          <w:i w:val="false"/>
          <w:iCs w:val="false"/>
          <w:caps w:val="false"/>
          <w:sz w:val="24"/>
          <w:szCs w:val="24"/>
        </w:rPr>
        <w:t xml:space="preserve">10.1	</w:t>
      </w:r>
      <w:r>
        <w:rPr>
          <w:rFonts w:ascii="Times New Roman" w:cs="Times New Roman" w:eastAsia="Times New Roman" w:hAnsi="Times New Roman"/>
          <w:b w:val="false"/>
          <w:bCs w:val="false"/>
          <w:i w:val="false"/>
          <w:iCs w:val="false"/>
          <w:caps w:val="false"/>
          <w:sz w:val="24"/>
          <w:szCs w:val="24"/>
        </w:rPr>
        <w:t xml:space="preserve">Save to admit the procedural history and the text of the rule nisi granted on 16 April 2026, the contents of these paragraphs are denied.</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tabs>
          <w:tab w:val="left" w:pos="1440"/>
        </w:tabs>
        <w:spacing w:after="0" w:before="0" w:line="480" w:lineRule="auto"/>
        <w:ind w:left="1440" w:hanging="1440"/>
        <w:jc w:val="both"/>
      </w:pPr>
      <w:r>
        <w:rPr>
          <w:rFonts w:ascii="Times New Roman" w:cs="Times New Roman" w:eastAsia="Times New Roman" w:hAnsi="Times New Roman"/>
          <w:b w:val="false"/>
          <w:bCs w:val="false"/>
          <w:i w:val="false"/>
          <w:iCs w:val="false"/>
          <w:caps w:val="false"/>
          <w:sz w:val="24"/>
          <w:szCs w:val="24"/>
        </w:rPr>
        <w:t xml:space="preserve">10.2	</w:t>
      </w:r>
      <w:r>
        <w:rPr>
          <w:rFonts w:ascii="Times New Roman" w:cs="Times New Roman" w:eastAsia="Times New Roman" w:hAnsi="Times New Roman"/>
          <w:b w:val="false"/>
          <w:bCs w:val="false"/>
          <w:i w:val="false"/>
          <w:iCs w:val="false"/>
          <w:caps w:val="false"/>
          <w:sz w:val="24"/>
          <w:szCs w:val="24"/>
        </w:rPr>
        <w:t xml:space="preserve">I specifically deny that my communications dated 14 and 15 April 2026 constitute criminal extortion.</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tabs>
          <w:tab w:val="left" w:pos="1440"/>
        </w:tabs>
        <w:spacing w:after="0" w:before="0" w:line="480" w:lineRule="auto"/>
        <w:ind w:left="1440" w:hanging="1440"/>
        <w:jc w:val="both"/>
      </w:pPr>
      <w:r>
        <w:rPr>
          <w:rFonts w:ascii="Times New Roman" w:cs="Times New Roman" w:eastAsia="Times New Roman" w:hAnsi="Times New Roman"/>
          <w:b w:val="false"/>
          <w:bCs w:val="false"/>
          <w:i w:val="false"/>
          <w:iCs w:val="false"/>
          <w:caps w:val="false"/>
          <w:sz w:val="24"/>
          <w:szCs w:val="24"/>
        </w:rPr>
        <w:t xml:space="preserve">10.3	</w:t>
      </w:r>
      <w:r>
        <w:rPr>
          <w:rFonts w:ascii="Times New Roman" w:cs="Times New Roman" w:eastAsia="Times New Roman" w:hAnsi="Times New Roman"/>
          <w:b w:val="false"/>
          <w:bCs w:val="false"/>
          <w:i w:val="false"/>
          <w:iCs w:val="false"/>
          <w:caps w:val="false"/>
          <w:sz w:val="24"/>
          <w:szCs w:val="24"/>
        </w:rPr>
        <w:t xml:space="preserve">As detailed below, the email of 15 April 2026 was a lawful, itemised financial quantification of a filed, pending statutory Labour Court Statement of Claim (filed 9 April 2026). This quantification was compiled and transmitted at the explicit written request of the Applicant's own attorneys of record, Deneys. It is an abuse of process to request a legal quantification and then flag that quantification as an act of extortion to obtain an emergency interdict.</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pBdr>
          <w:bottom w:val="single" w:color="000000" w:sz="4" w:space="4"/>
        </w:pBdr>
        <w:spacing w:after="120" w:before="120" w:line="480" w:lineRule="auto"/>
        <w:jc w:val="center"/>
      </w:pPr>
      <w:r>
        <w:rPr>
          <w:rFonts w:ascii="Times New Roman" w:cs="Times New Roman" w:eastAsia="Times New Roman" w:hAnsi="Times New Roman"/>
          <w:b/>
          <w:bCs/>
          <w:i w:val="false"/>
          <w:iCs w:val="false"/>
          <w:caps/>
          <w:sz w:val="24"/>
          <w:szCs w:val="24"/>
        </w:rPr>
        <w:t xml:space="preserve">11. AD PARAGRAPHS 11 TO 30 THEREIN (THE "EXTORTION" NARRATIVE)</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tabs>
          <w:tab w:val="left" w:pos="1440"/>
        </w:tabs>
        <w:spacing w:after="0" w:before="0" w:line="480" w:lineRule="auto"/>
        <w:ind w:left="1440" w:hanging="1440"/>
        <w:jc w:val="both"/>
      </w:pPr>
      <w:r>
        <w:rPr>
          <w:rFonts w:ascii="Times New Roman" w:cs="Times New Roman" w:eastAsia="Times New Roman" w:hAnsi="Times New Roman"/>
          <w:b w:val="false"/>
          <w:bCs w:val="false"/>
          <w:i w:val="false"/>
          <w:iCs w:val="false"/>
          <w:caps w:val="false"/>
          <w:sz w:val="24"/>
          <w:szCs w:val="24"/>
        </w:rPr>
        <w:t xml:space="preserve">11.1	</w:t>
      </w:r>
      <w:r>
        <w:rPr>
          <w:rFonts w:ascii="Times New Roman" w:cs="Times New Roman" w:eastAsia="Times New Roman" w:hAnsi="Times New Roman"/>
          <w:b w:val="false"/>
          <w:bCs w:val="false"/>
          <w:i w:val="false"/>
          <w:iCs w:val="false"/>
          <w:caps w:val="false"/>
          <w:sz w:val="24"/>
          <w:szCs w:val="24"/>
        </w:rPr>
        <w:t xml:space="preserve">The allegations contained in these paragraphs are false and are vehemently denied. The Applicant has intentionally stripped my communications of their legal context to engineer an artificial emergency.</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tabs>
          <w:tab w:val="left" w:pos="1440"/>
        </w:tabs>
        <w:spacing w:after="0" w:before="0" w:line="480" w:lineRule="auto"/>
        <w:ind w:left="1440" w:hanging="1440"/>
        <w:jc w:val="both"/>
      </w:pPr>
      <w:r>
        <w:rPr>
          <w:rFonts w:ascii="Times New Roman" w:cs="Times New Roman" w:eastAsia="Times New Roman" w:hAnsi="Times New Roman"/>
          <w:b w:val="false"/>
          <w:bCs w:val="false"/>
          <w:i w:val="false"/>
          <w:iCs w:val="false"/>
          <w:caps w:val="false"/>
          <w:sz w:val="24"/>
          <w:szCs w:val="24"/>
        </w:rPr>
        <w:t xml:space="preserve">11.2	</w:t>
      </w:r>
      <w:r>
        <w:rPr>
          <w:rFonts w:ascii="Times New Roman" w:cs="Times New Roman" w:eastAsia="Times New Roman" w:hAnsi="Times New Roman"/>
          <w:b w:val="false"/>
          <w:bCs w:val="false"/>
          <w:i w:val="false"/>
          <w:iCs w:val="false"/>
          <w:caps w:val="false"/>
          <w:sz w:val="24"/>
          <w:szCs w:val="24"/>
        </w:rPr>
        <w:t xml:space="preserve">My Statement of Claim in the Labour Court (Case No: 2026-077546) expressly reserved the right to quantify damages arising from occupational detriments and unfair labour practices. On 15 April 2026, Deneys sent an electronic inquiry stating that my claims were "unquantified."</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tabs>
          <w:tab w:val="left" w:pos="1440"/>
        </w:tabs>
        <w:spacing w:after="0" w:before="0" w:line="480" w:lineRule="auto"/>
        <w:ind w:left="1440" w:hanging="1440"/>
        <w:jc w:val="both"/>
      </w:pPr>
      <w:r>
        <w:rPr>
          <w:rFonts w:ascii="Times New Roman" w:cs="Times New Roman" w:eastAsia="Times New Roman" w:hAnsi="Times New Roman"/>
          <w:b w:val="false"/>
          <w:bCs w:val="false"/>
          <w:i w:val="false"/>
          <w:iCs w:val="false"/>
          <w:caps w:val="false"/>
          <w:sz w:val="24"/>
          <w:szCs w:val="24"/>
        </w:rPr>
        <w:t xml:space="preserve">11.3	</w:t>
      </w:r>
      <w:r>
        <w:rPr>
          <w:rFonts w:ascii="Times New Roman" w:cs="Times New Roman" w:eastAsia="Times New Roman" w:hAnsi="Times New Roman"/>
          <w:b w:val="false"/>
          <w:bCs w:val="false"/>
          <w:i w:val="false"/>
          <w:iCs w:val="false"/>
          <w:caps w:val="false"/>
          <w:sz w:val="24"/>
          <w:szCs w:val="24"/>
        </w:rPr>
        <w:t xml:space="preserve">My response on the afternoon of 15 April 2026 provided a mathematically precise, itemised schedule totaling R7,307,642.72, anchored strictly to statutory components: contractual breach, unpaid overtime, irregular payroll deductions, and compensation under the Protected Disclosures Act 26 of 2000 ("PDA").</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tabs>
          <w:tab w:val="left" w:pos="1440"/>
        </w:tabs>
        <w:spacing w:after="0" w:before="0" w:line="480" w:lineRule="auto"/>
        <w:ind w:left="1440" w:hanging="1440"/>
        <w:jc w:val="both"/>
      </w:pPr>
      <w:r>
        <w:rPr>
          <w:rFonts w:ascii="Times New Roman" w:cs="Times New Roman" w:eastAsia="Times New Roman" w:hAnsi="Times New Roman"/>
          <w:b w:val="false"/>
          <w:bCs w:val="false"/>
          <w:i w:val="false"/>
          <w:iCs w:val="false"/>
          <w:caps w:val="false"/>
          <w:sz w:val="24"/>
          <w:szCs w:val="24"/>
        </w:rPr>
        <w:t xml:space="preserve">11.4	</w:t>
      </w:r>
      <w:r>
        <w:rPr>
          <w:rFonts w:ascii="Times New Roman" w:cs="Times New Roman" w:eastAsia="Times New Roman" w:hAnsi="Times New Roman"/>
          <w:b w:val="false"/>
          <w:bCs w:val="false"/>
          <w:i w:val="false"/>
          <w:iCs w:val="false"/>
          <w:caps w:val="false"/>
          <w:sz w:val="24"/>
          <w:szCs w:val="24"/>
        </w:rPr>
        <w:t xml:space="preserve">The threat of a Protected Disclosures Act escalation to labour federations (PSA, NEHAWU, DENOSA) is a right expressly protected under Section 9 of the PDA. Internal escalation channels were entirely exhausted and actively choked when the Chief Risk Officer, Monwabisi Kula, issued a corporate gag order instructing me to "stop sending these emails."</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pBdr>
          <w:bottom w:val="single" w:color="000000" w:sz="4" w:space="4"/>
        </w:pBdr>
        <w:spacing w:after="120" w:before="120" w:line="480" w:lineRule="auto"/>
        <w:jc w:val="center"/>
      </w:pPr>
      <w:r>
        <w:rPr>
          <w:rFonts w:ascii="Times New Roman" w:cs="Times New Roman" w:eastAsia="Times New Roman" w:hAnsi="Times New Roman"/>
          <w:b/>
          <w:bCs/>
          <w:i w:val="false"/>
          <w:iCs w:val="false"/>
          <w:caps/>
          <w:sz w:val="24"/>
          <w:szCs w:val="24"/>
        </w:rPr>
        <w:t xml:space="preserve">12. AD PARAGRAPHS 31 TO 36 THEREIN (THE SALARY REDUCTION AND "RED HERRINGS")</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tabs>
          <w:tab w:val="left" w:pos="1440"/>
        </w:tabs>
        <w:spacing w:after="0" w:before="0" w:line="480" w:lineRule="auto"/>
        <w:ind w:left="1440" w:hanging="1440"/>
        <w:jc w:val="both"/>
      </w:pPr>
      <w:r>
        <w:rPr>
          <w:rFonts w:ascii="Times New Roman" w:cs="Times New Roman" w:eastAsia="Times New Roman" w:hAnsi="Times New Roman"/>
          <w:b w:val="false"/>
          <w:bCs w:val="false"/>
          <w:i w:val="false"/>
          <w:iCs w:val="false"/>
          <w:caps w:val="false"/>
          <w:sz w:val="24"/>
          <w:szCs w:val="24"/>
        </w:rPr>
        <w:t xml:space="preserve">12.1	</w:t>
      </w:r>
      <w:r>
        <w:rPr>
          <w:rFonts w:ascii="Times New Roman" w:cs="Times New Roman" w:eastAsia="Times New Roman" w:hAnsi="Times New Roman"/>
          <w:b w:val="false"/>
          <w:bCs w:val="false"/>
          <w:i w:val="false"/>
          <w:iCs w:val="false"/>
          <w:caps w:val="false"/>
          <w:sz w:val="24"/>
          <w:szCs w:val="24"/>
        </w:rPr>
        <w:t xml:space="preserve">The contents of these paragraphs are denied. The Applicant's characterisation of my salary reduction as a routine "no-work, no-pay" calculation is a deliberate misrepresentation.</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tabs>
          <w:tab w:val="left" w:pos="1440"/>
        </w:tabs>
        <w:spacing w:after="0" w:before="0" w:line="480" w:lineRule="auto"/>
        <w:ind w:left="1440" w:hanging="1440"/>
        <w:jc w:val="both"/>
      </w:pPr>
      <w:r>
        <w:rPr>
          <w:rFonts w:ascii="Times New Roman" w:cs="Times New Roman" w:eastAsia="Times New Roman" w:hAnsi="Times New Roman"/>
          <w:b w:val="false"/>
          <w:bCs w:val="false"/>
          <w:i w:val="false"/>
          <w:iCs w:val="false"/>
          <w:caps w:val="false"/>
          <w:sz w:val="24"/>
          <w:szCs w:val="24"/>
        </w:rPr>
        <w:t xml:space="preserve">12.2	</w:t>
      </w:r>
      <w:r>
        <w:rPr>
          <w:rFonts w:ascii="Times New Roman" w:cs="Times New Roman" w:eastAsia="Times New Roman" w:hAnsi="Times New Roman"/>
          <w:b w:val="false"/>
          <w:bCs w:val="false"/>
          <w:i w:val="false"/>
          <w:iCs w:val="false"/>
          <w:caps w:val="false"/>
          <w:sz w:val="24"/>
          <w:szCs w:val="24"/>
        </w:rPr>
        <w:t xml:space="preserve">The unilateral reduction of my salary was a direct, punitive response executing an occupational detriment after I escalated the Gexus/DMS integration gap — which exposes medical schemes to a R3.016 billion financial and clinical liability.</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tabs>
          <w:tab w:val="left" w:pos="1440"/>
        </w:tabs>
        <w:spacing w:after="0" w:before="0" w:line="480" w:lineRule="auto"/>
        <w:ind w:left="1440" w:hanging="1440"/>
        <w:jc w:val="both"/>
      </w:pPr>
      <w:r>
        <w:rPr>
          <w:rFonts w:ascii="Times New Roman" w:cs="Times New Roman" w:eastAsia="Times New Roman" w:hAnsi="Times New Roman"/>
          <w:b w:val="false"/>
          <w:bCs w:val="false"/>
          <w:i w:val="false"/>
          <w:iCs w:val="false"/>
          <w:caps w:val="false"/>
          <w:sz w:val="24"/>
          <w:szCs w:val="24"/>
        </w:rPr>
        <w:t xml:space="preserve">12.3	</w:t>
      </w:r>
      <w:r>
        <w:rPr>
          <w:rFonts w:ascii="Times New Roman" w:cs="Times New Roman" w:eastAsia="Times New Roman" w:hAnsi="Times New Roman"/>
          <w:b w:val="false"/>
          <w:bCs w:val="false"/>
          <w:i w:val="false"/>
          <w:iCs w:val="false"/>
          <w:caps w:val="false"/>
          <w:sz w:val="24"/>
          <w:szCs w:val="24"/>
        </w:rPr>
        <w:t xml:space="preserve">The payroll systems were manipulated to simulate a voluntary absence, completely ignoring my documented, uncontested psychiatric disability (severe PTSD and depression) validated by Dr. Jacques Malan and Dr. P.M.J. Ohm. The Applicant cannot reduce an employee to destitution, withhold exit paperwork, and then claim in the High Court that the resulting disputes are "red herrings."</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pBdr>
          <w:bottom w:val="single" w:color="000000" w:sz="4" w:space="4"/>
        </w:pBdr>
        <w:spacing w:after="120" w:before="120" w:line="480" w:lineRule="auto"/>
        <w:jc w:val="center"/>
      </w:pPr>
      <w:r>
        <w:rPr>
          <w:rFonts w:ascii="Times New Roman" w:cs="Times New Roman" w:eastAsia="Times New Roman" w:hAnsi="Times New Roman"/>
          <w:b/>
          <w:bCs/>
          <w:i w:val="false"/>
          <w:iCs w:val="false"/>
          <w:caps/>
          <w:sz w:val="24"/>
          <w:szCs w:val="24"/>
        </w:rPr>
        <w:t xml:space="preserve">13. AD PARAGRAPH 37 THEREIN (THE "WILMA" DATA INTEGRITY OVERLAP)</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tabs>
          <w:tab w:val="left" w:pos="1440"/>
        </w:tabs>
        <w:spacing w:after="0" w:before="0" w:line="480" w:lineRule="auto"/>
        <w:ind w:left="1440" w:hanging="1440"/>
        <w:jc w:val="both"/>
      </w:pPr>
      <w:r>
        <w:rPr>
          <w:rFonts w:ascii="Times New Roman" w:cs="Times New Roman" w:eastAsia="Times New Roman" w:hAnsi="Times New Roman"/>
          <w:b w:val="false"/>
          <w:bCs w:val="false"/>
          <w:i w:val="false"/>
          <w:iCs w:val="false"/>
          <w:caps w:val="false"/>
          <w:sz w:val="24"/>
          <w:szCs w:val="24"/>
        </w:rPr>
        <w:t xml:space="preserve">13.1	</w:t>
      </w:r>
      <w:r>
        <w:rPr>
          <w:rFonts w:ascii="Times New Roman" w:cs="Times New Roman" w:eastAsia="Times New Roman" w:hAnsi="Times New Roman"/>
          <w:b w:val="false"/>
          <w:bCs w:val="false"/>
          <w:i w:val="false"/>
          <w:iCs w:val="false"/>
          <w:caps w:val="false"/>
          <w:sz w:val="24"/>
          <w:szCs w:val="24"/>
        </w:rPr>
        <w:t xml:space="preserve">The contents of this paragraph are denied. The reference to the "Wilma" data event is not an external threat to corporate infrastructure; it is objective evidence of an internal data integrity breach and administrative chaos within the Applicant's systems. This constitutes a valid regulatory concern under POPIA, which I was legally obligated to report.</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pBdr>
          <w:bottom w:val="single" w:color="000000" w:sz="4" w:space="4"/>
        </w:pBdr>
        <w:spacing w:after="120" w:before="120" w:line="480" w:lineRule="auto"/>
        <w:jc w:val="center"/>
      </w:pPr>
      <w:r>
        <w:rPr>
          <w:rFonts w:ascii="Times New Roman" w:cs="Times New Roman" w:eastAsia="Times New Roman" w:hAnsi="Times New Roman"/>
          <w:b/>
          <w:bCs/>
          <w:i w:val="false"/>
          <w:iCs w:val="false"/>
          <w:caps/>
          <w:sz w:val="24"/>
          <w:szCs w:val="24"/>
        </w:rPr>
        <w:t xml:space="preserve">14. AD PARAGRAPH 38 (INCLUDING SUB-PARAGRAPHS 38.2 TO 38.5)</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tabs>
          <w:tab w:val="left" w:pos="1440"/>
        </w:tabs>
        <w:spacing w:after="0" w:before="0" w:line="480" w:lineRule="auto"/>
        <w:ind w:left="1440" w:hanging="1440"/>
        <w:jc w:val="both"/>
      </w:pPr>
      <w:r>
        <w:rPr>
          <w:rFonts w:ascii="Times New Roman" w:cs="Times New Roman" w:eastAsia="Times New Roman" w:hAnsi="Times New Roman"/>
          <w:b w:val="false"/>
          <w:bCs w:val="false"/>
          <w:i w:val="false"/>
          <w:iCs w:val="false"/>
          <w:caps w:val="false"/>
          <w:sz w:val="24"/>
          <w:szCs w:val="24"/>
        </w:rPr>
        <w:t xml:space="preserve">14.1	</w:t>
      </w:r>
      <w:r>
        <w:rPr>
          <w:rFonts w:ascii="Times New Roman" w:cs="Times New Roman" w:eastAsia="Times New Roman" w:hAnsi="Times New Roman"/>
          <w:b w:val="false"/>
          <w:bCs w:val="false"/>
          <w:i w:val="false"/>
          <w:iCs w:val="false"/>
          <w:caps w:val="false"/>
          <w:sz w:val="24"/>
          <w:szCs w:val="24"/>
        </w:rPr>
        <w:t xml:space="preserve">The contents of these paragraphs are denied. The Applicant's legal counsel argues that issuing a UI-19 reflecting anything other than "resignation" would be a fraudulent misrepresentation. This is an egregious distortion of the law.</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tabs>
          <w:tab w:val="left" w:pos="1440"/>
        </w:tabs>
        <w:spacing w:after="0" w:before="0" w:line="480" w:lineRule="auto"/>
        <w:ind w:left="1440" w:hanging="1440"/>
        <w:jc w:val="both"/>
      </w:pPr>
      <w:r>
        <w:rPr>
          <w:rFonts w:ascii="Times New Roman" w:cs="Times New Roman" w:eastAsia="Times New Roman" w:hAnsi="Times New Roman"/>
          <w:b w:val="false"/>
          <w:bCs w:val="false"/>
          <w:i w:val="false"/>
          <w:iCs w:val="false"/>
          <w:caps w:val="false"/>
          <w:sz w:val="24"/>
          <w:szCs w:val="24"/>
        </w:rPr>
        <w:t xml:space="preserve">14.2	</w:t>
      </w:r>
      <w:r>
        <w:rPr>
          <w:rFonts w:ascii="Times New Roman" w:cs="Times New Roman" w:eastAsia="Times New Roman" w:hAnsi="Times New Roman"/>
          <w:b w:val="false"/>
          <w:bCs w:val="false"/>
          <w:i w:val="false"/>
          <w:iCs w:val="false"/>
          <w:caps w:val="false"/>
          <w:sz w:val="24"/>
          <w:szCs w:val="24"/>
        </w:rPr>
        <w:t xml:space="preserve">My exit from the company was a constructive dismissal driven by intolerable occupational detriments following protected disclosures. Forcing an employee out and then rendering them administratively destitute by submitting an inaccurate "Resignation" code to the Department of Employment and Labour — thereby blocking my lawful access to Unemployment Insurance Fund (UIF) benefits — is a statutory offence.</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tabs>
          <w:tab w:val="left" w:pos="1440"/>
        </w:tabs>
        <w:spacing w:after="0" w:before="0" w:line="480" w:lineRule="auto"/>
        <w:ind w:left="1440" w:hanging="1440"/>
        <w:jc w:val="both"/>
      </w:pPr>
      <w:r>
        <w:rPr>
          <w:rFonts w:ascii="Times New Roman" w:cs="Times New Roman" w:eastAsia="Times New Roman" w:hAnsi="Times New Roman"/>
          <w:b w:val="false"/>
          <w:bCs w:val="false"/>
          <w:i w:val="false"/>
          <w:iCs w:val="false"/>
          <w:caps w:val="false"/>
          <w:sz w:val="24"/>
          <w:szCs w:val="24"/>
        </w:rPr>
        <w:t xml:space="preserve">14.3	</w:t>
      </w:r>
      <w:r>
        <w:rPr>
          <w:rFonts w:ascii="Times New Roman" w:cs="Times New Roman" w:eastAsia="Times New Roman" w:hAnsi="Times New Roman"/>
          <w:b w:val="false"/>
          <w:bCs w:val="false"/>
          <w:i w:val="false"/>
          <w:iCs w:val="false"/>
          <w:caps w:val="false"/>
          <w:sz w:val="24"/>
          <w:szCs w:val="24"/>
        </w:rPr>
        <w:t xml:space="preserve">Due to the fraudulent manipulation of these statutory levies and exit documentation (including the withholding of the EXIT4 payroll log), a formal criminal case has been registered under SAPS CAS 705/3/2026 (transferred to SAPS Woodstock). The Applicant lacks the clean hands necessary to seek equitable relief from this Honourable Court while its officials are under active criminal investigation for the exact same matrix of administrative conduct.</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pBdr>
          <w:bottom w:val="single" w:color="000000" w:sz="4" w:space="4"/>
        </w:pBdr>
        <w:spacing w:after="120" w:before="120" w:line="480" w:lineRule="auto"/>
        <w:jc w:val="center"/>
      </w:pPr>
      <w:r>
        <w:rPr>
          <w:rFonts w:ascii="Times New Roman" w:cs="Times New Roman" w:eastAsia="Times New Roman" w:hAnsi="Times New Roman"/>
          <w:b/>
          <w:bCs/>
          <w:i w:val="false"/>
          <w:iCs w:val="false"/>
          <w:caps/>
          <w:sz w:val="24"/>
          <w:szCs w:val="24"/>
        </w:rPr>
        <w:t xml:space="preserve">15. AD PARAGRAPHS 39 TO 45 THEREIN</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tabs>
          <w:tab w:val="left" w:pos="1440"/>
        </w:tabs>
        <w:spacing w:after="0" w:before="0" w:line="480" w:lineRule="auto"/>
        <w:ind w:left="1440" w:hanging="1440"/>
        <w:jc w:val="both"/>
      </w:pPr>
      <w:r>
        <w:rPr>
          <w:rFonts w:ascii="Times New Roman" w:cs="Times New Roman" w:eastAsia="Times New Roman" w:hAnsi="Times New Roman"/>
          <w:b w:val="false"/>
          <w:bCs w:val="false"/>
          <w:i w:val="false"/>
          <w:iCs w:val="false"/>
          <w:caps w:val="false"/>
          <w:sz w:val="24"/>
          <w:szCs w:val="24"/>
        </w:rPr>
        <w:t xml:space="preserve">15.1	</w:t>
      </w:r>
      <w:r>
        <w:rPr>
          <w:rFonts w:ascii="Times New Roman" w:cs="Times New Roman" w:eastAsia="Times New Roman" w:hAnsi="Times New Roman"/>
          <w:b w:val="false"/>
          <w:bCs w:val="false"/>
          <w:i w:val="false"/>
          <w:iCs w:val="false"/>
          <w:caps w:val="false"/>
          <w:sz w:val="24"/>
          <w:szCs w:val="24"/>
        </w:rPr>
        <w:t xml:space="preserve">The contents of these paragraphs are denied. I deny that the Applicant has established a clear right, an apprehension of irreparable harm, or the absence of an alternative remedy.</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tabs>
          <w:tab w:val="left" w:pos="1440"/>
        </w:tabs>
        <w:spacing w:after="0" w:before="0" w:line="480" w:lineRule="auto"/>
        <w:ind w:left="1440" w:hanging="1440"/>
        <w:jc w:val="both"/>
      </w:pPr>
      <w:r>
        <w:rPr>
          <w:rFonts w:ascii="Times New Roman" w:cs="Times New Roman" w:eastAsia="Times New Roman" w:hAnsi="Times New Roman"/>
          <w:b w:val="false"/>
          <w:bCs w:val="false"/>
          <w:i w:val="false"/>
          <w:iCs w:val="false"/>
          <w:caps w:val="false"/>
          <w:sz w:val="24"/>
          <w:szCs w:val="24"/>
        </w:rPr>
        <w:t xml:space="preserve">15.2	</w:t>
      </w:r>
      <w:r>
        <w:rPr>
          <w:rFonts w:ascii="Times New Roman" w:cs="Times New Roman" w:eastAsia="Times New Roman" w:hAnsi="Times New Roman"/>
          <w:b w:val="false"/>
          <w:bCs w:val="false"/>
          <w:i w:val="false"/>
          <w:iCs w:val="false"/>
          <w:caps w:val="false"/>
          <w:sz w:val="24"/>
          <w:szCs w:val="24"/>
        </w:rPr>
        <w:t xml:space="preserve">The Applicant's alternative remedy resides completely within the Labour Court and the pending statutory arbitrations. This High Court application is a classic Strategic Lawsuit Against Public Participation (SLAPP) designed to bankrupt and silence a self-represented whistleblower.</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pBdr>
          <w:bottom w:val="single" w:color="000000" w:sz="6" w:space="4"/>
        </w:pBdr>
        <w:spacing w:after="0" w:before="0" w:line="240" w:lineRule="auto"/>
      </w:pPr>
      <w:r>
        <w:rPr>
          <w:rFonts w:ascii="Times New Roman" w:cs="Times New Roman" w:eastAsia="Times New Roman" w:hAnsi="Times New Roman"/>
          <w:b w:val="false"/>
          <w:bCs w:val="false"/>
          <w:i w:val="false"/>
          <w:iCs w:val="false"/>
          <w:caps w:val="false"/>
          <w:sz w:val="24"/>
          <w:szCs w:val="24"/>
        </w:rPr>
        <w:t xml:space="preserve"/>
      </w:r>
    </w:p>
    <w:p>
      <w:pPr>
        <w:pBdr>
          <w:bottom w:val="single" w:color="000000" w:sz="4" w:space="4"/>
        </w:pBdr>
        <w:spacing w:after="120" w:before="120" w:line="480" w:lineRule="auto"/>
        <w:jc w:val="center"/>
      </w:pPr>
      <w:r>
        <w:rPr>
          <w:rFonts w:ascii="Times New Roman" w:cs="Times New Roman" w:eastAsia="Times New Roman" w:hAnsi="Times New Roman"/>
          <w:b/>
          <w:bCs/>
          <w:i w:val="false"/>
          <w:iCs w:val="false"/>
          <w:caps/>
          <w:sz w:val="24"/>
          <w:szCs w:val="24"/>
        </w:rPr>
        <w:t xml:space="preserve">SECTION H: INCORPORATED SCHEDULE OF PERJURIES &amp; BARE DENIALS</w:t>
      </w:r>
    </w:p>
    <w:p>
      <w:pPr>
        <w:pBdr>
          <w:bottom w:val="single" w:color="000000" w:sz="6" w:space="4"/>
        </w:pBdr>
        <w:spacing w:after="0" w:before="0" w:line="240" w:lineRule="auto"/>
      </w:pPr>
      <w:r>
        <w:rPr>
          <w:rFonts w:ascii="Times New Roman" w:cs="Times New Roman" w:eastAsia="Times New Roman" w:hAnsi="Times New Roman"/>
          <w:b w:val="false"/>
          <w:bCs w:val="false"/>
          <w:i w:val="false"/>
          <w:iCs w:val="false"/>
          <w:caps w:val="false"/>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pBdr>
          <w:bottom w:val="single" w:color="000000" w:sz="4" w:space="4"/>
        </w:pBdr>
        <w:spacing w:after="120" w:before="120" w:line="480" w:lineRule="auto"/>
        <w:jc w:val="center"/>
      </w:pPr>
      <w:r>
        <w:rPr>
          <w:rFonts w:ascii="Times New Roman" w:cs="Times New Roman" w:eastAsia="Times New Roman" w:hAnsi="Times New Roman"/>
          <w:b/>
          <w:bCs/>
          <w:i w:val="false"/>
          <w:iCs w:val="false"/>
          <w:caps/>
          <w:sz w:val="24"/>
          <w:szCs w:val="24"/>
        </w:rPr>
        <w:t xml:space="preserve">16. MATERIAL PERJURIES MATRIX</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To assist this Honourable Court in assessing the credibility and standing of the Applicant, the Respondent sets out the following direct contradictions made under oath by the Applicant's executive structure:</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400"/>
        <w:gridCol w:w="1700"/>
        <w:gridCol w:w="3083"/>
        <w:gridCol w:w="3083"/>
      </w:tblGrid>
      <w:tr>
        <w:trPr>
          <w:tblHeader/>
        </w:trPr>
        <w:tc>
          <w:tcPr>
            <w:tcW w:type="dxa" w:w="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line="280" w:lineRule="auto"/>
            </w:pPr>
            <w:r>
              <w:rPr>
                <w:rFonts w:ascii="Times New Roman" w:cs="Times New Roman" w:eastAsia="Times New Roman" w:hAnsi="Times New Roman"/>
                <w:b/>
                <w:bCs/>
                <w:i w:val="false"/>
                <w:iCs w:val="false"/>
                <w:caps w:val="false"/>
                <w:sz w:val="20"/>
                <w:szCs w:val="20"/>
              </w:rPr>
              <w:t xml:space="preserve">No.</w:t>
            </w:r>
          </w:p>
        </w:tc>
        <w:tc>
          <w:tcPr>
            <w:tcW w:type="dxa" w:w="17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line="280" w:lineRule="auto"/>
            </w:pPr>
            <w:r>
              <w:rPr>
                <w:rFonts w:ascii="Times New Roman" w:cs="Times New Roman" w:eastAsia="Times New Roman" w:hAnsi="Times New Roman"/>
                <w:b/>
                <w:bCs/>
                <w:i w:val="false"/>
                <w:iCs w:val="false"/>
                <w:caps w:val="false"/>
                <w:sz w:val="20"/>
                <w:szCs w:val="20"/>
              </w:rPr>
              <w:t xml:space="preserve">Forum &amp; Document</w:t>
            </w:r>
          </w:p>
        </w:tc>
        <w:tc>
          <w:tcPr>
            <w:tcW w:type="dxa" w:w="3083"/>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line="280" w:lineRule="auto"/>
            </w:pPr>
            <w:r>
              <w:rPr>
                <w:rFonts w:ascii="Times New Roman" w:cs="Times New Roman" w:eastAsia="Times New Roman" w:hAnsi="Times New Roman"/>
                <w:b/>
                <w:bCs/>
                <w:i w:val="false"/>
                <w:iCs w:val="false"/>
                <w:caps w:val="false"/>
                <w:sz w:val="20"/>
                <w:szCs w:val="20"/>
              </w:rPr>
              <w:t xml:space="preserve">Statement Under Oath</w:t>
            </w:r>
          </w:p>
        </w:tc>
        <w:tc>
          <w:tcPr>
            <w:tcW w:type="dxa" w:w="3083"/>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line="280" w:lineRule="auto"/>
            </w:pPr>
            <w:r>
              <w:rPr>
                <w:rFonts w:ascii="Times New Roman" w:cs="Times New Roman" w:eastAsia="Times New Roman" w:hAnsi="Times New Roman"/>
                <w:b/>
                <w:bCs/>
                <w:i w:val="false"/>
                <w:iCs w:val="false"/>
                <w:caps w:val="false"/>
                <w:sz w:val="20"/>
                <w:szCs w:val="20"/>
              </w:rPr>
              <w:t xml:space="preserve">Verifiable Reality / Contradiction</w:t>
            </w:r>
          </w:p>
        </w:tc>
      </w:tr>
      <w:tr>
        <w:tc>
          <w:tcPr>
            <w:tcW w:type="dxa" w:w="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both"/>
            </w:pPr>
            <w:r>
              <w:rPr>
                <w:rFonts w:ascii="Times New Roman" w:cs="Times New Roman" w:eastAsia="Times New Roman" w:hAnsi="Times New Roman"/>
                <w:b w:val="false"/>
                <w:bCs w:val="false"/>
                <w:i w:val="false"/>
                <w:iCs w:val="false"/>
                <w:caps w:val="false"/>
                <w:sz w:val="20"/>
                <w:szCs w:val="20"/>
              </w:rPr>
              <w:t xml:space="preserve">P1</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both"/>
            </w:pPr>
            <w:r>
              <w:rPr>
                <w:rFonts w:ascii="Times New Roman" w:cs="Times New Roman" w:eastAsia="Times New Roman" w:hAnsi="Times New Roman"/>
                <w:b w:val="false"/>
                <w:bCs w:val="false"/>
                <w:i w:val="false"/>
                <w:iCs w:val="false"/>
                <w:caps w:val="false"/>
                <w:sz w:val="20"/>
                <w:szCs w:val="20"/>
              </w:rPr>
              <w:t xml:space="preserve">High Court Founding Affidavit (16 Apr 2026)</w:t>
            </w:r>
          </w:p>
        </w:tc>
        <w:tc>
          <w:tcPr>
            <w:tcW w:type="dxa" w:w="308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both"/>
            </w:pPr>
            <w:r>
              <w:rPr>
                <w:rFonts w:ascii="Times New Roman" w:cs="Times New Roman" w:eastAsia="Times New Roman" w:hAnsi="Times New Roman"/>
                <w:b w:val="false"/>
                <w:bCs w:val="false"/>
                <w:i w:val="false"/>
                <w:iCs w:val="false"/>
                <w:caps w:val="false"/>
                <w:sz w:val="20"/>
                <w:szCs w:val="20"/>
              </w:rPr>
              <w:t xml:space="preserve">Deponent states the Group is aware of and intends to handle all disputes via proper legal channels, referencing the Labour Court cases.</w:t>
            </w:r>
          </w:p>
        </w:tc>
        <w:tc>
          <w:tcPr>
            <w:tcW w:type="dxa" w:w="308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both"/>
            </w:pPr>
            <w:r>
              <w:rPr>
                <w:rFonts w:ascii="Times New Roman" w:cs="Times New Roman" w:eastAsia="Times New Roman" w:hAnsi="Times New Roman"/>
                <w:b w:val="false"/>
                <w:bCs w:val="false"/>
                <w:i w:val="false"/>
                <w:iCs w:val="false"/>
                <w:caps w:val="false"/>
                <w:sz w:val="20"/>
                <w:szCs w:val="20"/>
              </w:rPr>
              <w:t xml:space="preserve">Statement of Response filed by Vijay Makenjee in the Labour Court on 19 May 2026 states under oath: "The Defendants are not aware of any further claim with case number 2026-077546."</w:t>
            </w:r>
          </w:p>
        </w:tc>
      </w:tr>
      <w:tr>
        <w:tc>
          <w:tcPr>
            <w:tcW w:type="dxa" w:w="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both"/>
            </w:pPr>
            <w:r>
              <w:rPr>
                <w:rFonts w:ascii="Times New Roman" w:cs="Times New Roman" w:eastAsia="Times New Roman" w:hAnsi="Times New Roman"/>
                <w:b w:val="false"/>
                <w:bCs w:val="false"/>
                <w:i w:val="false"/>
                <w:iCs w:val="false"/>
                <w:caps w:val="false"/>
                <w:sz w:val="20"/>
                <w:szCs w:val="20"/>
              </w:rPr>
              <w:t xml:space="preserve">P2</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both"/>
            </w:pPr>
            <w:r>
              <w:rPr>
                <w:rFonts w:ascii="Times New Roman" w:cs="Times New Roman" w:eastAsia="Times New Roman" w:hAnsi="Times New Roman"/>
                <w:b w:val="false"/>
                <w:bCs w:val="false"/>
                <w:i w:val="false"/>
                <w:iCs w:val="false"/>
                <w:caps w:val="false"/>
                <w:sz w:val="20"/>
                <w:szCs w:val="20"/>
              </w:rPr>
              <w:t xml:space="preserve">High Court Supplementary Affidavit (4 May 2026)</w:t>
            </w:r>
          </w:p>
        </w:tc>
        <w:tc>
          <w:tcPr>
            <w:tcW w:type="dxa" w:w="308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both"/>
            </w:pPr>
            <w:r>
              <w:rPr>
                <w:rFonts w:ascii="Times New Roman" w:cs="Times New Roman" w:eastAsia="Times New Roman" w:hAnsi="Times New Roman"/>
                <w:b w:val="false"/>
                <w:bCs w:val="false"/>
                <w:i w:val="false"/>
                <w:iCs w:val="false"/>
                <w:caps w:val="false"/>
                <w:sz w:val="20"/>
                <w:szCs w:val="20"/>
              </w:rPr>
              <w:t xml:space="preserve">Claims the Respondent's job title and salary calculations were handled lawfully as a "Case Manager".</w:t>
            </w:r>
          </w:p>
        </w:tc>
        <w:tc>
          <w:tcPr>
            <w:tcW w:type="dxa" w:w="308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both"/>
            </w:pPr>
            <w:r>
              <w:rPr>
                <w:rFonts w:ascii="Times New Roman" w:cs="Times New Roman" w:eastAsia="Times New Roman" w:hAnsi="Times New Roman"/>
                <w:b w:val="false"/>
                <w:bCs w:val="false"/>
                <w:i w:val="false"/>
                <w:iCs w:val="false"/>
                <w:caps w:val="false"/>
                <w:sz w:val="20"/>
                <w:szCs w:val="20"/>
              </w:rPr>
              <w:t xml:space="preserve">Certificate of Service and Exit UI-19 documentation deliberately downgraded the Respondent's title to "Care Coordinator" to diminish professional standing.</w:t>
            </w:r>
          </w:p>
        </w:tc>
      </w:tr>
      <w:tr>
        <w:tc>
          <w:tcPr>
            <w:tcW w:type="dxa" w:w="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both"/>
            </w:pPr>
            <w:r>
              <w:rPr>
                <w:rFonts w:ascii="Times New Roman" w:cs="Times New Roman" w:eastAsia="Times New Roman" w:hAnsi="Times New Roman"/>
                <w:b w:val="false"/>
                <w:bCs w:val="false"/>
                <w:i w:val="false"/>
                <w:iCs w:val="false"/>
                <w:caps w:val="false"/>
                <w:sz w:val="20"/>
                <w:szCs w:val="20"/>
              </w:rPr>
              <w:t xml:space="preserve">P3</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both"/>
            </w:pPr>
            <w:r>
              <w:rPr>
                <w:rFonts w:ascii="Times New Roman" w:cs="Times New Roman" w:eastAsia="Times New Roman" w:hAnsi="Times New Roman"/>
                <w:b w:val="false"/>
                <w:bCs w:val="false"/>
                <w:i w:val="false"/>
                <w:iCs w:val="false"/>
                <w:caps w:val="false"/>
                <w:sz w:val="20"/>
                <w:szCs w:val="20"/>
              </w:rPr>
              <w:t xml:space="preserve">CCMA Opposing Affidavit (X.V. Manyati)</w:t>
            </w:r>
          </w:p>
        </w:tc>
        <w:tc>
          <w:tcPr>
            <w:tcW w:type="dxa" w:w="308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both"/>
            </w:pPr>
            <w:r>
              <w:rPr>
                <w:rFonts w:ascii="Times New Roman" w:cs="Times New Roman" w:eastAsia="Times New Roman" w:hAnsi="Times New Roman"/>
                <w:b w:val="false"/>
                <w:bCs w:val="false"/>
                <w:i w:val="false"/>
                <w:iCs w:val="false"/>
                <w:caps w:val="false"/>
                <w:sz w:val="20"/>
                <w:szCs w:val="20"/>
              </w:rPr>
              <w:t xml:space="preserve">Alleges that the Respondent's documented PTSD and mental health deterioration was "an afterthought" and "an excuse".</w:t>
            </w:r>
          </w:p>
        </w:tc>
        <w:tc>
          <w:tcPr>
            <w:tcW w:type="dxa" w:w="308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both"/>
            </w:pPr>
            <w:r>
              <w:rPr>
                <w:rFonts w:ascii="Times New Roman" w:cs="Times New Roman" w:eastAsia="Times New Roman" w:hAnsi="Times New Roman"/>
                <w:b w:val="false"/>
                <w:bCs w:val="false"/>
                <w:i w:val="false"/>
                <w:iCs w:val="false"/>
                <w:caps w:val="false"/>
                <w:sz w:val="20"/>
                <w:szCs w:val="20"/>
              </w:rPr>
              <w:t xml:space="preserve">The Applicant possessed comprehensive, independent medical reports from Dr. Malan dating back to mid-2025, which were actively ignored by HR executives.</w:t>
            </w:r>
          </w:p>
        </w:tc>
      </w:tr>
      <w:tr>
        <w:tc>
          <w:tcPr>
            <w:tcW w:type="dxa" w:w="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both"/>
            </w:pPr>
            <w:r>
              <w:rPr>
                <w:rFonts w:ascii="Times New Roman" w:cs="Times New Roman" w:eastAsia="Times New Roman" w:hAnsi="Times New Roman"/>
                <w:b w:val="false"/>
                <w:bCs w:val="false"/>
                <w:i w:val="false"/>
                <w:iCs w:val="false"/>
                <w:caps w:val="false"/>
                <w:sz w:val="20"/>
                <w:szCs w:val="20"/>
              </w:rPr>
              <w:t xml:space="preserve">P4</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both"/>
            </w:pPr>
            <w:r>
              <w:rPr>
                <w:rFonts w:ascii="Times New Roman" w:cs="Times New Roman" w:eastAsia="Times New Roman" w:hAnsi="Times New Roman"/>
                <w:b w:val="false"/>
                <w:bCs w:val="false"/>
                <w:i w:val="false"/>
                <w:iCs w:val="false"/>
                <w:caps w:val="false"/>
                <w:sz w:val="20"/>
                <w:szCs w:val="20"/>
              </w:rPr>
              <w:t xml:space="preserve">High Court Reply / Deputy Info Officer</w:t>
            </w:r>
          </w:p>
        </w:tc>
        <w:tc>
          <w:tcPr>
            <w:tcW w:type="dxa" w:w="308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both"/>
            </w:pPr>
            <w:r>
              <w:rPr>
                <w:rFonts w:ascii="Times New Roman" w:cs="Times New Roman" w:eastAsia="Times New Roman" w:hAnsi="Times New Roman"/>
                <w:b w:val="false"/>
                <w:bCs w:val="false"/>
                <w:i w:val="false"/>
                <w:iCs w:val="false"/>
                <w:caps w:val="false"/>
                <w:sz w:val="20"/>
                <w:szCs w:val="20"/>
              </w:rPr>
              <w:t xml:space="preserve">Declares under oath that no architectural data vulnerabilities or Gexus/DMS systems integration gaps exist.</w:t>
            </w:r>
          </w:p>
        </w:tc>
        <w:tc>
          <w:tcPr>
            <w:tcW w:type="dxa" w:w="308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both"/>
            </w:pPr>
            <w:r>
              <w:rPr>
                <w:rFonts w:ascii="Times New Roman" w:cs="Times New Roman" w:eastAsia="Times New Roman" w:hAnsi="Times New Roman"/>
                <w:b w:val="false"/>
                <w:bCs w:val="false"/>
                <w:i w:val="false"/>
                <w:iCs w:val="false"/>
                <w:caps w:val="false"/>
                <w:sz w:val="20"/>
                <w:szCs w:val="20"/>
              </w:rPr>
              <w:t xml:space="preserve">Internal technical escalations and the Mahlangu RCA record clear system non-synchronization, exposing members to a R3.016 billion financial liability.</w:t>
            </w:r>
          </w:p>
        </w:tc>
      </w:tr>
    </w:tbl>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pBdr>
          <w:bottom w:val="single" w:color="000000" w:sz="4" w:space="4"/>
        </w:pBdr>
        <w:spacing w:after="120" w:before="120" w:line="480" w:lineRule="auto"/>
        <w:jc w:val="center"/>
      </w:pPr>
      <w:r>
        <w:rPr>
          <w:rFonts w:ascii="Times New Roman" w:cs="Times New Roman" w:eastAsia="Times New Roman" w:hAnsi="Times New Roman"/>
          <w:b/>
          <w:bCs/>
          <w:i w:val="false"/>
          <w:iCs w:val="false"/>
          <w:caps/>
          <w:sz w:val="24"/>
          <w:szCs w:val="24"/>
        </w:rPr>
        <w:t xml:space="preserve">17. STATUTORY PROTECTIONS &amp; POPIA DEFENCE</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tabs>
          <w:tab w:val="left" w:pos="1440"/>
        </w:tabs>
        <w:spacing w:after="0" w:before="0" w:line="480" w:lineRule="auto"/>
        <w:ind w:left="1440" w:hanging="1440"/>
        <w:jc w:val="both"/>
      </w:pPr>
      <w:r>
        <w:rPr>
          <w:rFonts w:ascii="Times New Roman" w:cs="Times New Roman" w:eastAsia="Times New Roman" w:hAnsi="Times New Roman"/>
          <w:b w:val="false"/>
          <w:bCs w:val="false"/>
          <w:i w:val="false"/>
          <w:iCs w:val="false"/>
          <w:caps w:val="false"/>
          <w:sz w:val="24"/>
          <w:szCs w:val="24"/>
        </w:rPr>
        <w:t xml:space="preserve">17.1	</w:t>
      </w:r>
      <w:r>
        <w:rPr>
          <w:rFonts w:ascii="Times New Roman" w:cs="Times New Roman" w:eastAsia="Times New Roman" w:hAnsi="Times New Roman"/>
          <w:b w:val="false"/>
          <w:bCs w:val="false"/>
          <w:i w:val="false"/>
          <w:iCs w:val="false"/>
          <w:caps w:val="false"/>
          <w:sz w:val="24"/>
          <w:szCs w:val="24"/>
        </w:rPr>
        <w:t xml:space="preserve">The Applicant seeks to restrain me from communicating with statutory bodies, including the Information Regulator, regarding data breaches.</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tabs>
          <w:tab w:val="left" w:pos="1440"/>
        </w:tabs>
        <w:spacing w:after="0" w:before="0" w:line="480" w:lineRule="auto"/>
        <w:ind w:left="1440" w:hanging="1440"/>
        <w:jc w:val="both"/>
      </w:pPr>
      <w:r>
        <w:rPr>
          <w:rFonts w:ascii="Times New Roman" w:cs="Times New Roman" w:eastAsia="Times New Roman" w:hAnsi="Times New Roman"/>
          <w:b w:val="false"/>
          <w:bCs w:val="false"/>
          <w:i w:val="false"/>
          <w:iCs w:val="false"/>
          <w:caps w:val="false"/>
          <w:sz w:val="24"/>
          <w:szCs w:val="24"/>
        </w:rPr>
        <w:t xml:space="preserve">17.2	</w:t>
      </w:r>
      <w:r>
        <w:rPr>
          <w:rFonts w:ascii="Times New Roman" w:cs="Times New Roman" w:eastAsia="Times New Roman" w:hAnsi="Times New Roman"/>
          <w:b w:val="false"/>
          <w:bCs w:val="false"/>
          <w:i w:val="false"/>
          <w:iCs w:val="false"/>
          <w:caps w:val="false"/>
          <w:sz w:val="24"/>
          <w:szCs w:val="24"/>
        </w:rPr>
        <w:t xml:space="preserve">As the founder of Ethic Hawks and a registered healthcare professional, I am legally bound by statutory ethical codes and POPIA provisions to report systemic vulnerabilities that compromise patient records and public health funds. An interdict cannot be used to override a statutory duty to report corporate non-compliance to a Regulatory Authority.</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pBdr>
          <w:bottom w:val="single" w:color="000000" w:sz="6" w:space="4"/>
        </w:pBdr>
        <w:spacing w:after="0" w:before="0" w:line="240" w:lineRule="auto"/>
      </w:pPr>
      <w:r>
        <w:rPr>
          <w:rFonts w:ascii="Times New Roman" w:cs="Times New Roman" w:eastAsia="Times New Roman" w:hAnsi="Times New Roman"/>
          <w:b w:val="false"/>
          <w:bCs w:val="false"/>
          <w:i w:val="false"/>
          <w:iCs w:val="false"/>
          <w:caps w:val="false"/>
          <w:sz w:val="24"/>
          <w:szCs w:val="24"/>
        </w:rPr>
        <w:t xml:space="preserve"/>
      </w:r>
    </w:p>
    <w:p>
      <w:pPr>
        <w:pBdr>
          <w:bottom w:val="single" w:color="000000" w:sz="4" w:space="4"/>
        </w:pBdr>
        <w:spacing w:after="120" w:before="120" w:line="480" w:lineRule="auto"/>
        <w:jc w:val="center"/>
      </w:pPr>
      <w:r>
        <w:rPr>
          <w:rFonts w:ascii="Times New Roman" w:cs="Times New Roman" w:eastAsia="Times New Roman" w:hAnsi="Times New Roman"/>
          <w:b/>
          <w:bCs/>
          <w:i w:val="false"/>
          <w:iCs w:val="false"/>
          <w:caps/>
          <w:sz w:val="24"/>
          <w:szCs w:val="24"/>
        </w:rPr>
        <w:t xml:space="preserve">SECTION I: COMPREHENSIVE PRAYER AND REFERRAL ORDERS</w:t>
      </w:r>
    </w:p>
    <w:p>
      <w:pPr>
        <w:pBdr>
          <w:bottom w:val="single" w:color="000000" w:sz="6" w:space="4"/>
        </w:pBdr>
        <w:spacing w:after="0" w:before="0" w:line="240" w:lineRule="auto"/>
      </w:pPr>
      <w:r>
        <w:rPr>
          <w:rFonts w:ascii="Times New Roman" w:cs="Times New Roman" w:eastAsia="Times New Roman" w:hAnsi="Times New Roman"/>
          <w:b w:val="false"/>
          <w:bCs w:val="false"/>
          <w:i w:val="false"/>
          <w:iCs w:val="false"/>
          <w:caps w:val="false"/>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Wherefore the Respondent respectfully prays that the Honourable Court:</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tabs>
          <w:tab w:val="left" w:pos="1440"/>
        </w:tabs>
        <w:spacing w:after="0" w:before="0" w:line="480" w:lineRule="auto"/>
        <w:ind w:left="1440" w:hanging="1440"/>
        <w:jc w:val="both"/>
      </w:pPr>
      <w:r>
        <w:rPr>
          <w:rFonts w:ascii="Times New Roman" w:cs="Times New Roman" w:eastAsia="Times New Roman" w:hAnsi="Times New Roman"/>
          <w:b w:val="false"/>
          <w:bCs w:val="false"/>
          <w:i w:val="false"/>
          <w:iCs w:val="false"/>
          <w:caps w:val="false"/>
          <w:sz w:val="24"/>
          <w:szCs w:val="24"/>
        </w:rPr>
        <w:t xml:space="preserve">1.	</w:t>
      </w:r>
      <w:r>
        <w:rPr>
          <w:rFonts w:ascii="Times New Roman" w:cs="Times New Roman" w:eastAsia="Times New Roman" w:hAnsi="Times New Roman"/>
          <w:b w:val="false"/>
          <w:bCs w:val="false"/>
          <w:i w:val="false"/>
          <w:iCs w:val="false"/>
          <w:caps w:val="false"/>
          <w:sz w:val="24"/>
          <w:szCs w:val="24"/>
        </w:rPr>
        <w:t xml:space="preserve">Dismisses the Applicant's application for the confirmation of the rule nisi with costs on an attorney-and-client scale;</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tabs>
          <w:tab w:val="left" w:pos="1440"/>
        </w:tabs>
        <w:spacing w:after="0" w:before="0" w:line="480" w:lineRule="auto"/>
        <w:ind w:left="1440" w:hanging="1440"/>
        <w:jc w:val="both"/>
      </w:pPr>
      <w:r>
        <w:rPr>
          <w:rFonts w:ascii="Times New Roman" w:cs="Times New Roman" w:eastAsia="Times New Roman" w:hAnsi="Times New Roman"/>
          <w:b w:val="false"/>
          <w:bCs w:val="false"/>
          <w:i w:val="false"/>
          <w:iCs w:val="false"/>
          <w:caps w:val="false"/>
          <w:sz w:val="24"/>
          <w:szCs w:val="24"/>
        </w:rPr>
        <w:t xml:space="preserve">2.	</w:t>
      </w:r>
      <w:r>
        <w:rPr>
          <w:rFonts w:ascii="Times New Roman" w:cs="Times New Roman" w:eastAsia="Times New Roman" w:hAnsi="Times New Roman"/>
          <w:b w:val="false"/>
          <w:bCs w:val="false"/>
          <w:i w:val="false"/>
          <w:iCs w:val="false"/>
          <w:caps w:val="false"/>
          <w:sz w:val="24"/>
          <w:szCs w:val="24"/>
        </w:rPr>
        <w:t xml:space="preserve">Discharges the interim order granted on 16 April 2026 with immediate effect;</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tabs>
          <w:tab w:val="left" w:pos="1440"/>
        </w:tabs>
        <w:spacing w:after="0" w:before="0" w:line="480" w:lineRule="auto"/>
        <w:ind w:left="1440" w:hanging="1440"/>
        <w:jc w:val="both"/>
      </w:pPr>
      <w:r>
        <w:rPr>
          <w:rFonts w:ascii="Times New Roman" w:cs="Times New Roman" w:eastAsia="Times New Roman" w:hAnsi="Times New Roman"/>
          <w:b w:val="false"/>
          <w:bCs w:val="false"/>
          <w:i w:val="false"/>
          <w:iCs w:val="false"/>
          <w:caps w:val="false"/>
          <w:sz w:val="24"/>
          <w:szCs w:val="24"/>
        </w:rPr>
        <w:t xml:space="preserve">3.	</w:t>
      </w:r>
      <w:r>
        <w:rPr>
          <w:rFonts w:ascii="Times New Roman" w:cs="Times New Roman" w:eastAsia="Times New Roman" w:hAnsi="Times New Roman"/>
          <w:b w:val="false"/>
          <w:bCs w:val="false"/>
          <w:i w:val="false"/>
          <w:iCs w:val="false"/>
          <w:caps w:val="false"/>
          <w:sz w:val="24"/>
          <w:szCs w:val="24"/>
        </w:rPr>
        <w:t xml:space="preserve">Grants the relief sought in the Respondent's Counter-Application, declaring the disclosures regarding the Gexus/DMS integration flaws to be Protected Disclosures in terms of Act 26 of 2000;</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tabs>
          <w:tab w:val="left" w:pos="1440"/>
        </w:tabs>
        <w:spacing w:after="0" w:before="0" w:line="480" w:lineRule="auto"/>
        <w:ind w:left="1440" w:hanging="1440"/>
        <w:jc w:val="both"/>
      </w:pPr>
      <w:r>
        <w:rPr>
          <w:rFonts w:ascii="Times New Roman" w:cs="Times New Roman" w:eastAsia="Times New Roman" w:hAnsi="Times New Roman"/>
          <w:b w:val="false"/>
          <w:bCs w:val="false"/>
          <w:i w:val="false"/>
          <w:iCs w:val="false"/>
          <w:caps w:val="false"/>
          <w:sz w:val="24"/>
          <w:szCs w:val="24"/>
        </w:rPr>
        <w:t xml:space="preserve">4.	</w:t>
      </w:r>
      <w:r>
        <w:rPr>
          <w:rFonts w:ascii="Times New Roman" w:cs="Times New Roman" w:eastAsia="Times New Roman" w:hAnsi="Times New Roman"/>
          <w:b w:val="false"/>
          <w:bCs w:val="false"/>
          <w:i w:val="false"/>
          <w:iCs w:val="false"/>
          <w:caps w:val="false"/>
          <w:sz w:val="24"/>
          <w:szCs w:val="24"/>
        </w:rPr>
        <w:t xml:space="preserve">Directs the Registrar of this Honourable Court to copy and transmit the complete, indexed case file under Case No: 2026-086906 directly to the </w:t>
      </w:r>
      <w:r>
        <w:rPr>
          <w:rFonts w:ascii="Times New Roman" w:cs="Times New Roman" w:eastAsia="Times New Roman" w:hAnsi="Times New Roman"/>
          <w:b/>
          <w:bCs/>
          <w:i w:val="false"/>
          <w:iCs w:val="false"/>
          <w:caps w:val="false"/>
          <w:sz w:val="24"/>
          <w:szCs w:val="24"/>
        </w:rPr>
        <w:t xml:space="preserve">Information Regulator</w:t>
      </w:r>
      <w:r>
        <w:rPr>
          <w:rFonts w:ascii="Times New Roman" w:cs="Times New Roman" w:eastAsia="Times New Roman" w:hAnsi="Times New Roman"/>
          <w:b w:val="false"/>
          <w:bCs w:val="false"/>
          <w:i w:val="false"/>
          <w:iCs w:val="false"/>
          <w:caps w:val="false"/>
          <w:sz w:val="24"/>
          <w:szCs w:val="24"/>
        </w:rPr>
        <w:t xml:space="preserve"> to investigate the statutory breaches, data vulnerabilities, and false declarations made by the Deputy Information Officer under the Protection of Personal Information Act 4 of 2013; and</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tabs>
          <w:tab w:val="left" w:pos="1440"/>
        </w:tabs>
        <w:spacing w:after="0" w:before="0" w:line="480" w:lineRule="auto"/>
        <w:ind w:left="1440" w:hanging="1440"/>
        <w:jc w:val="both"/>
      </w:pPr>
      <w:r>
        <w:rPr>
          <w:rFonts w:ascii="Times New Roman" w:cs="Times New Roman" w:eastAsia="Times New Roman" w:hAnsi="Times New Roman"/>
          <w:b w:val="false"/>
          <w:bCs w:val="false"/>
          <w:i w:val="false"/>
          <w:iCs w:val="false"/>
          <w:caps w:val="false"/>
          <w:sz w:val="24"/>
          <w:szCs w:val="24"/>
        </w:rPr>
        <w:t xml:space="preserve">5.	</w:t>
      </w:r>
      <w:r>
        <w:rPr>
          <w:rFonts w:ascii="Times New Roman" w:cs="Times New Roman" w:eastAsia="Times New Roman" w:hAnsi="Times New Roman"/>
          <w:b w:val="false"/>
          <w:bCs w:val="false"/>
          <w:i w:val="false"/>
          <w:iCs w:val="false"/>
          <w:caps w:val="false"/>
          <w:sz w:val="24"/>
          <w:szCs w:val="24"/>
        </w:rPr>
        <w:t xml:space="preserve">Directs the Registrar of this Honourable Court to transmit the complete case file to the </w:t>
      </w:r>
      <w:r>
        <w:rPr>
          <w:rFonts w:ascii="Times New Roman" w:cs="Times New Roman" w:eastAsia="Times New Roman" w:hAnsi="Times New Roman"/>
          <w:b/>
          <w:bCs/>
          <w:i w:val="false"/>
          <w:iCs w:val="false"/>
          <w:caps w:val="false"/>
          <w:sz w:val="24"/>
          <w:szCs w:val="24"/>
        </w:rPr>
        <w:t xml:space="preserve">Director of Public Prosecutions (DPP) / National Director of Public Prosecutions (NDPP)</w:t>
      </w:r>
      <w:r>
        <w:rPr>
          <w:rFonts w:ascii="Times New Roman" w:cs="Times New Roman" w:eastAsia="Times New Roman" w:hAnsi="Times New Roman"/>
          <w:b w:val="false"/>
          <w:bCs w:val="false"/>
          <w:i w:val="false"/>
          <w:iCs w:val="false"/>
          <w:caps w:val="false"/>
          <w:sz w:val="24"/>
          <w:szCs w:val="24"/>
        </w:rPr>
        <w:t xml:space="preserve"> for formal evaluation and investigation of the prima facie criminal conduct, systemic perjuries across courts, statutory fraud under the Unemployment Insurance Contributions Act, and the obstruction of justice documented herein (and currently registered under </w:t>
      </w:r>
      <w:r>
        <w:rPr>
          <w:rFonts w:ascii="Times New Roman" w:cs="Times New Roman" w:eastAsia="Times New Roman" w:hAnsi="Times New Roman"/>
          <w:b/>
          <w:bCs/>
          <w:i w:val="false"/>
          <w:iCs w:val="false"/>
          <w:caps w:val="false"/>
          <w:sz w:val="24"/>
          <w:szCs w:val="24"/>
        </w:rPr>
        <w:t xml:space="preserve">SAPS CAS 705/3/2026</w:t>
      </w:r>
      <w:r>
        <w:rPr>
          <w:rFonts w:ascii="Times New Roman" w:cs="Times New Roman" w:eastAsia="Times New Roman" w:hAnsi="Times New Roman"/>
          <w:b w:val="false"/>
          <w:bCs w:val="false"/>
          <w:i w:val="false"/>
          <w:iCs w:val="false"/>
          <w:caps w:val="false"/>
          <w:sz w:val="24"/>
          <w:szCs w:val="24"/>
        </w:rPr>
        <w:t xml:space="preserve">).</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pBdr>
          <w:bottom w:val="single" w:color="000000" w:sz="6" w:space="4"/>
        </w:pBdr>
        <w:spacing w:after="0" w:before="0" w:line="240" w:lineRule="auto"/>
      </w:pPr>
      <w:r>
        <w:rPr>
          <w:rFonts w:ascii="Times New Roman" w:cs="Times New Roman" w:eastAsia="Times New Roman" w:hAnsi="Times New Roman"/>
          <w:b w:val="false"/>
          <w:bCs w:val="false"/>
          <w:i w:val="false"/>
          <w:iCs w:val="false"/>
          <w:caps w:val="false"/>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tabs>
          <w:tab w:val="left" w:pos="4500"/>
        </w:tabs>
        <w:spacing w:after="0" w:before="0" w:line="240" w:lineRule="auto"/>
      </w:pPr>
      <w:r>
        <w:rPr>
          <w:rFonts w:ascii="Times New Roman" w:cs="Times New Roman" w:eastAsia="Times New Roman" w:hAnsi="Times New Roman"/>
          <w:b w:val="false"/>
          <w:bCs w:val="false"/>
          <w:i w:val="false"/>
          <w:iCs w:val="false"/>
          <w:caps w:val="false"/>
          <w:sz w:val="20"/>
          <w:szCs w:val="20"/>
        </w:rPr>
        <w:t xml:space="preserve">_______________________________			_______________________________</w:t>
      </w:r>
    </w:p>
    <w:p>
      <w:pPr>
        <w:tabs>
          <w:tab w:val="left" w:pos="4500"/>
        </w:tabs>
        <w:spacing w:after="60" w:before="0" w:line="240" w:lineRule="auto"/>
      </w:pPr>
      <w:r>
        <w:rPr>
          <w:rFonts w:ascii="Times New Roman" w:cs="Times New Roman" w:eastAsia="Times New Roman" w:hAnsi="Times New Roman"/>
          <w:b w:val="false"/>
          <w:bCs w:val="false"/>
          <w:i w:val="false"/>
          <w:iCs w:val="false"/>
          <w:caps w:val="false"/>
          <w:sz w:val="20"/>
          <w:szCs w:val="20"/>
        </w:rPr>
        <w:t xml:space="preserve">WILBUR WILLIAM MATTHEE				Date: _____ May 2026</w:t>
      </w:r>
    </w:p>
    <w:p>
      <w:pPr>
        <w:spacing w:after="0" w:before="0" w:line="480" w:lineRule="auto"/>
        <w:jc w:val="both"/>
      </w:pPr>
      <w:r>
        <w:rPr>
          <w:rFonts w:ascii="Times New Roman" w:cs="Times New Roman" w:eastAsia="Times New Roman" w:hAnsi="Times New Roman"/>
          <w:b w:val="false"/>
          <w:bCs w:val="false"/>
          <w:i/>
          <w:iCs/>
          <w:caps w:val="false"/>
          <w:sz w:val="20"/>
          <w:szCs w:val="20"/>
        </w:rPr>
        <w:t xml:space="preserve">Respondent Acting in Person</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pBdr>
          <w:bottom w:val="single" w:color="000000" w:sz="4" w:space="4"/>
        </w:pBdr>
        <w:spacing w:after="120" w:before="120" w:line="480" w:lineRule="auto"/>
        <w:jc w:val="center"/>
      </w:pPr>
      <w:r>
        <w:rPr>
          <w:rFonts w:ascii="Times New Roman" w:cs="Times New Roman" w:eastAsia="Times New Roman" w:hAnsi="Times New Roman"/>
          <w:b/>
          <w:bCs/>
          <w:i w:val="false"/>
          <w:iCs w:val="false"/>
          <w:caps/>
          <w:sz w:val="24"/>
          <w:szCs w:val="24"/>
        </w:rPr>
        <w:t xml:space="preserve">DEPONENT'S CERTIFICATION</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I certify that the deponent has acknowledged that he knows and understands the contents of this affidavit, which was signed and sworn to before me at CAPE TOWN on this _____ day of MAY 2026, the regulations contained in Government Notice No. R1258 of 21 July 1972, as amended, having been complied with.</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lineRule="auto"/>
      </w:pPr>
      <w:r>
        <w:rPr>
          <w:rFonts w:ascii="Times New Roman" w:cs="Times New Roman" w:eastAsia="Times New Roman" w:hAnsi="Times New Roman"/>
          <w:b w:val="false"/>
          <w:bCs w:val="false"/>
          <w:i w:val="false"/>
          <w:iCs w:val="false"/>
          <w:caps w:val="false"/>
          <w:sz w:val="24"/>
          <w:szCs w:val="24"/>
        </w:rPr>
        <w:t xml:space="preserve">_______________________________</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COMMISSIONER OF OATHS</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tabs>
          <w:tab w:val="left" w:pos="1800"/>
        </w:tabs>
        <w:spacing w:line="320" w:lineRule="auto"/>
      </w:pPr>
      <w:r>
        <w:rPr>
          <w:rFonts w:ascii="Times New Roman" w:cs="Times New Roman" w:eastAsia="Times New Roman" w:hAnsi="Times New Roman"/>
          <w:b w:val="false"/>
          <w:bCs w:val="false"/>
          <w:i w:val="false"/>
          <w:iCs w:val="false"/>
          <w:caps w:val="false"/>
          <w:sz w:val="22"/>
          <w:szCs w:val="22"/>
        </w:rPr>
        <w:t xml:space="preserve">Full Names:	_______________________________</w:t>
      </w:r>
    </w:p>
    <w:p>
      <w:pPr>
        <w:tabs>
          <w:tab w:val="left" w:pos="1800"/>
        </w:tabs>
        <w:spacing w:line="320" w:lineRule="auto"/>
      </w:pPr>
      <w:r>
        <w:rPr>
          <w:rFonts w:ascii="Times New Roman" w:cs="Times New Roman" w:eastAsia="Times New Roman" w:hAnsi="Times New Roman"/>
          <w:b w:val="false"/>
          <w:bCs w:val="false"/>
          <w:i w:val="false"/>
          <w:iCs w:val="false"/>
          <w:caps w:val="false"/>
          <w:sz w:val="22"/>
          <w:szCs w:val="22"/>
        </w:rPr>
        <w:t xml:space="preserve">Designation:	_______________________________</w:t>
      </w:r>
    </w:p>
    <w:p>
      <w:pPr>
        <w:tabs>
          <w:tab w:val="left" w:pos="2160"/>
        </w:tabs>
        <w:spacing w:line="320" w:lineRule="auto"/>
      </w:pPr>
      <w:r>
        <w:rPr>
          <w:rFonts w:ascii="Times New Roman" w:cs="Times New Roman" w:eastAsia="Times New Roman" w:hAnsi="Times New Roman"/>
          <w:b w:val="false"/>
          <w:bCs w:val="false"/>
          <w:i w:val="false"/>
          <w:iCs w:val="false"/>
          <w:caps w:val="false"/>
          <w:sz w:val="22"/>
          <w:szCs w:val="22"/>
        </w:rPr>
        <w:t xml:space="preserve">Physical Address:	_______________________________</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sectPr>
      <w:head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tabs>
        <w:tab w:val="right" w:pos="8666"/>
      </w:tabs>
      <w:spacing w:after="0" w:line="240" w:lineRule="auto"/>
    </w:pPr>
    <w:r>
      <w:rPr>
        <w:rFonts w:ascii="Times New Roman" w:cs="Times New Roman" w:eastAsia="Times New Roman" w:hAnsi="Times New Roman"/>
        <w:b w:val="false"/>
        <w:bCs w:val="false"/>
        <w:i w:val="false"/>
        <w:iCs w:val="false"/>
        <w:caps w:val="false"/>
        <w:sz w:val="20"/>
        <w:szCs w:val="20"/>
      </w:rPr>
      <w:t xml:space="preserve">Case No: 2026-086906</w:t>
    </w:r>
    <w:r>
      <w:rPr>
        <w:sz w:val="20"/>
        <w:szCs w:val="20"/>
      </w:rPr>
      <w:t xml:space="preserve">	</w:t>
    </w:r>
    <w:r>
      <w:rPr>
        <w:rFonts w:ascii="Times New Roman" w:cs="Times New Roman" w:eastAsia="Times New Roman" w:hAnsi="Times New Roman"/>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2026-05-25T13:55:17.075Z</dcterms:created>
  <dcterms:modified xsi:type="dcterms:W3CDTF">2026-05-25T13:55:17.086Z</dcterms:modified>
</cp:coreProperties>
</file>

<file path=docProps/custom.xml><?xml version="1.0" encoding="utf-8"?>
<Properties xmlns="http://schemas.openxmlformats.org/officeDocument/2006/custom-properties" xmlns:vt="http://schemas.openxmlformats.org/officeDocument/2006/docPropsVTypes"/>
</file>