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IN THE HIGH COURT OF SOUTH AFRICA</w:t>
      </w:r>
    </w:p>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(WESTERN CAPE DIVISION, CAPE TOWN)</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Case No:  ___________________________</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1F3864" w:sz="18"/>
        </w:pBdr>
        <w:spacing w:before="0" w:after="0"/>
      </w:pPr>
      <w:r>
        <w:rPr>
          <w:rFonts w:ascii="Times New Roman" w:cs="Times New Roman" w:eastAsia="Times New Roman" w:hAnsi="Times New Roman"/>
          <w:b w:val="false"/>
          <w:bCs w:val="false"/>
          <w:i w:val="false"/>
          <w:iCs w:val="false"/>
          <w:caps w:val="false"/>
          <w:sz w:val="24"/>
          <w:szCs w:val="24"/>
        </w:rPr>
        <w:t xml:space="preserve"/>
      </w:r>
    </w:p>
    <w:p>
      <w:pPr>
        <w:spacing w:line="240" w:lineRule="auto" w:before="160" w:after="60"/>
        <w:jc w:val="center"/>
      </w:pPr>
      <w:r>
        <w:rPr>
          <w:rFonts w:ascii="Times New Roman" w:cs="Times New Roman" w:eastAsia="Times New Roman" w:hAnsi="Times New Roman"/>
          <w:b/>
          <w:bCs/>
          <w:i w:val="false"/>
          <w:iCs w:val="false"/>
          <w:caps w:val="false"/>
          <w:sz w:val="28"/>
          <w:szCs w:val="28"/>
        </w:rPr>
        <w:t xml:space="preserve">PRACTICE NOTE</w:t>
      </w:r>
    </w:p>
    <w:p>
      <w:pPr>
        <w:spacing w:line="240" w:lineRule="auto" w:before="0" w:after="160"/>
        <w:jc w:val="center"/>
      </w:pPr>
      <w:r>
        <w:rPr>
          <w:rFonts w:ascii="Times New Roman" w:cs="Times New Roman" w:eastAsia="Times New Roman" w:hAnsi="Times New Roman"/>
          <w:b w:val="false"/>
          <w:bCs w:val="false"/>
          <w:i/>
          <w:iCs/>
          <w:caps w:val="false"/>
          <w:sz w:val="20"/>
          <w:szCs w:val="20"/>
        </w:rPr>
        <w:t xml:space="preserve">Urgent Application in terms of Rule 6(12) of the Uniform Rules of Court</w:t>
      </w:r>
    </w:p>
    <w:p>
      <w:pPr>
        <w:pBdr>
          <w:bottom w:val="single" w:color="1F3864" w:sz="18"/>
        </w:pBdr>
        <w:spacing w:before="0" w:after="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tabs>
          <w:tab w:val="right" w:pos="8221"/>
        </w:tabs>
        <w:spacing w:line="240" w:lineRule="auto" w:after="30"/>
        <w:jc w:val="both"/>
      </w:pPr>
      <w:r>
        <w:rPr>
          <w:rFonts w:ascii="Times New Roman" w:cs="Times New Roman" w:eastAsia="Times New Roman" w:hAnsi="Times New Roman"/>
          <w:b/>
          <w:bCs/>
          <w:i w:val="false"/>
          <w:iCs w:val="false"/>
          <w:caps w:val="false"/>
          <w:sz w:val="24"/>
          <w:szCs w:val="24"/>
        </w:rPr>
        <w:t xml:space="preserve">WILBUR WILLIAM MATTHEE</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Applicant</w:t>
      </w:r>
    </w:p>
    <w:p>
      <w:pPr>
        <w:tabs>
          <w:tab w:val="right" w:pos="8221"/>
        </w:tabs>
        <w:spacing w:line="240" w:lineRule="auto" w:after="30"/>
        <w:jc w:val="both"/>
      </w:pPr>
      <w:r>
        <w:rPr>
          <w:rFonts w:ascii="Times New Roman" w:cs="Times New Roman" w:eastAsia="Times New Roman" w:hAnsi="Times New Roman"/>
          <w:b/>
          <w:bCs/>
          <w:i w:val="false"/>
          <w:iCs w:val="false"/>
          <w:caps w:val="false"/>
          <w:sz w:val="24"/>
          <w:szCs w:val="24"/>
        </w:rPr>
        <w:t xml:space="preserve">BRUNO FERNANDES</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First Respondent</w:t>
      </w:r>
    </w:p>
    <w:p>
      <w:pPr>
        <w:tabs>
          <w:tab w:val="right" w:pos="8221"/>
        </w:tabs>
        <w:spacing w:line="240" w:lineRule="auto" w:after="30"/>
        <w:jc w:val="both"/>
      </w:pPr>
      <w:r>
        <w:rPr>
          <w:rFonts w:ascii="Times New Roman" w:cs="Times New Roman" w:eastAsia="Times New Roman" w:hAnsi="Times New Roman"/>
          <w:b/>
          <w:bCs/>
          <w:i w:val="false"/>
          <w:iCs w:val="false"/>
          <w:caps w:val="false"/>
          <w:sz w:val="24"/>
          <w:szCs w:val="24"/>
        </w:rPr>
        <w:t xml:space="preserve">DR NKATEKO MUNISI</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Second Respondent</w:t>
      </w:r>
    </w:p>
    <w:p>
      <w:pPr>
        <w:tabs>
          <w:tab w:val="right" w:pos="8221"/>
        </w:tabs>
        <w:spacing w:line="240" w:lineRule="auto" w:after="30"/>
        <w:jc w:val="both"/>
      </w:pPr>
      <w:r>
        <w:rPr>
          <w:rFonts w:ascii="Times New Roman" w:cs="Times New Roman" w:eastAsia="Times New Roman" w:hAnsi="Times New Roman"/>
          <w:b/>
          <w:bCs/>
          <w:i w:val="false"/>
          <w:iCs w:val="false"/>
          <w:caps w:val="false"/>
          <w:sz w:val="24"/>
          <w:szCs w:val="24"/>
        </w:rPr>
        <w:t xml:space="preserve">MS ALICE LE ROUX</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Third Respondent</w:t>
      </w:r>
    </w:p>
    <w:p>
      <w:pPr>
        <w:tabs>
          <w:tab w:val="right" w:pos="8221"/>
        </w:tabs>
        <w:spacing w:line="240" w:lineRule="auto" w:after="30"/>
        <w:jc w:val="both"/>
      </w:pPr>
      <w:r>
        <w:rPr>
          <w:rFonts w:ascii="Times New Roman" w:cs="Times New Roman" w:eastAsia="Times New Roman" w:hAnsi="Times New Roman"/>
          <w:b/>
          <w:bCs/>
          <w:i w:val="false"/>
          <w:iCs w:val="false"/>
          <w:caps w:val="false"/>
          <w:sz w:val="24"/>
          <w:szCs w:val="24"/>
        </w:rPr>
        <w:t xml:space="preserve">MR GERALD VAN WYK</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Fourth Respondent</w:t>
      </w:r>
    </w:p>
    <w:p>
      <w:pPr>
        <w:tabs>
          <w:tab w:val="right" w:pos="8221"/>
        </w:tabs>
        <w:spacing w:line="240" w:lineRule="auto" w:after="30"/>
        <w:jc w:val="both"/>
      </w:pPr>
      <w:r>
        <w:rPr>
          <w:rFonts w:ascii="Times New Roman" w:cs="Times New Roman" w:eastAsia="Times New Roman" w:hAnsi="Times New Roman"/>
          <w:b/>
          <w:bCs/>
          <w:i w:val="false"/>
          <w:iCs w:val="false"/>
          <w:caps w:val="false"/>
          <w:sz w:val="24"/>
          <w:szCs w:val="24"/>
        </w:rPr>
        <w:t xml:space="preserve">LSM MPUMLWANA</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Fifth Respondent</w:t>
      </w:r>
    </w:p>
    <w:p>
      <w:pPr>
        <w:tabs>
          <w:tab w:val="right" w:pos="8221"/>
        </w:tabs>
        <w:spacing w:line="240" w:lineRule="auto" w:after="30"/>
        <w:jc w:val="both"/>
      </w:pPr>
      <w:r>
        <w:rPr>
          <w:rFonts w:ascii="Times New Roman" w:cs="Times New Roman" w:eastAsia="Times New Roman" w:hAnsi="Times New Roman"/>
          <w:b/>
          <w:bCs/>
          <w:i w:val="false"/>
          <w:iCs w:val="false"/>
          <w:caps w:val="false"/>
          <w:sz w:val="24"/>
          <w:szCs w:val="24"/>
        </w:rPr>
        <w:t xml:space="preserve">AFROCENTRIC INVESTMENT CORPORATION LIMITED</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Sixth Respondent</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before="0" w:after="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 NATURE OF THE APPLICATION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is an urgent application brought in terms of Section 162 of the Companies Act 71 of 2008 for an order declaring the First to Fifth Respondents to be delinquent directors and officers of the Sixth Respondent, AfroCentric Investment Corporation Limited (JSE: ACT), together with a claim for damages of R5,000,000.00.</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application is brought on the following grounds, which are fully substantiated in the Founding Affidavit and Annexures:</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(a)</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Complete and unexplained institutional silence by each Individual Respondent following the Applicant's delivery of a Priority 1 Material Risk Report on 9 December 2025, containing 38 documentary attachments and placing the Board on express notice of multiple statutory violations;</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(b)</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B-BBEE fronting by the Sixth Respondent — a written admission by the Sixth Respondent's own Senior HR Business Partner constitutes the key evidentiary anchor;</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(c)</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An unlawful salary deduction of 40.47% in contravention of Section 34(2) of the Basic Conditions of Employment Act, confirmed by payslip;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(d)</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Whistleblower retaliation, UIF fraud, and systematic suppression of governance escalations.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Applicant is self-represented and brings this matter as a former employee, specialist nurse, and shareholder of the Sixth Respondent.</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2. BASIS FOR URGENCY</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tcBorders>
              <w:top w:val="single" w:color="1F3864" w:sz="6"/>
              <w:left w:val="single" w:color="1F3864" w:sz="6"/>
              <w:bottom w:val="single" w:color="1F3864" w:sz="6"/>
              <w:right w:val="single" w:color="1F3864" w:sz="6"/>
            </w:tcBorders>
            <w:shd w:fill="EBF0FA" w:val="clear"/>
            <w:tcMar>
              <w:top w:type="dxa" w:w="120"/>
              <w:left w:type="dxa" w:w="180"/>
              <w:bottom w:type="dxa" w:w="120"/>
              <w:right w:type="dxa" w:w="180"/>
            </w:tcMar>
          </w:tcPr>
          <w:p>
            <w:pPr>
              <w:spacing w:line="240" w:lineRule="auto" w:before="40" w:after="40"/>
              <w:jc w:val="left"/>
            </w:pPr>
            <w:r>
              <w:rPr>
                <w:rFonts w:ascii="Times New Roman" w:cs="Times New Roman" w:eastAsia="Times New Roman" w:hAnsi="Times New Roman"/>
                <w:b/>
                <w:bCs/>
                <w:i w:val="false"/>
                <w:iCs w:val="false"/>
                <w:caps w:val="false"/>
                <w:sz w:val="24"/>
                <w:szCs w:val="24"/>
              </w:rPr>
              <w:t xml:space="preserve">Eviction: </w:t>
            </w:r>
            <w:r>
              <w:rPr>
                <w:rFonts w:ascii="Times New Roman" w:cs="Times New Roman" w:eastAsia="Times New Roman" w:hAnsi="Times New Roman"/>
                <w:b w:val="false"/>
                <w:bCs w:val="false"/>
                <w:i w:val="false"/>
                <w:iCs w:val="false"/>
                <w:caps w:val="false"/>
                <w:sz w:val="24"/>
                <w:szCs w:val="24"/>
              </w:rPr>
              <w:t xml:space="preserve">Confirmed end of March 2026 — days from filing</w:t>
            </w:r>
          </w:p>
          <w:p>
            <w:pPr>
              <w:spacing w:line="240" w:lineRule="auto" w:before="40" w:after="40"/>
              <w:jc w:val="left"/>
            </w:pPr>
            <w:r>
              <w:rPr>
                <w:rFonts w:ascii="Times New Roman" w:cs="Times New Roman" w:eastAsia="Times New Roman" w:hAnsi="Times New Roman"/>
                <w:b/>
                <w:bCs/>
                <w:i w:val="false"/>
                <w:iCs w:val="false"/>
                <w:caps w:val="false"/>
                <w:sz w:val="24"/>
                <w:szCs w:val="24"/>
              </w:rPr>
              <w:t xml:space="preserve">Income: </w:t>
            </w:r>
            <w:r>
              <w:rPr>
                <w:rFonts w:ascii="Times New Roman" w:cs="Times New Roman" w:eastAsia="Times New Roman" w:hAnsi="Times New Roman"/>
                <w:b w:val="false"/>
                <w:bCs w:val="false"/>
                <w:i w:val="false"/>
                <w:iCs w:val="false"/>
                <w:caps w:val="false"/>
                <w:sz w:val="24"/>
                <w:szCs w:val="24"/>
              </w:rPr>
              <w:t xml:space="preserve">None — UIF denied by deliberate misclassification</w:t>
            </w:r>
          </w:p>
          <w:p>
            <w:pPr>
              <w:spacing w:line="240" w:lineRule="auto" w:before="40" w:after="40"/>
              <w:jc w:val="left"/>
            </w:pPr>
            <w:r>
              <w:rPr>
                <w:rFonts w:ascii="Times New Roman" w:cs="Times New Roman" w:eastAsia="Times New Roman" w:hAnsi="Times New Roman"/>
                <w:b/>
                <w:bCs/>
                <w:i w:val="false"/>
                <w:iCs w:val="false"/>
                <w:caps w:val="false"/>
                <w:sz w:val="24"/>
                <w:szCs w:val="24"/>
              </w:rPr>
              <w:t xml:space="preserve">Running water: </w:t>
            </w:r>
            <w:r>
              <w:rPr>
                <w:rFonts w:ascii="Times New Roman" w:cs="Times New Roman" w:eastAsia="Times New Roman" w:hAnsi="Times New Roman"/>
                <w:b w:val="false"/>
                <w:bCs w:val="false"/>
                <w:i w:val="false"/>
                <w:iCs w:val="false"/>
                <w:caps w:val="false"/>
                <w:sz w:val="24"/>
                <w:szCs w:val="24"/>
              </w:rPr>
              <w:t xml:space="preserve">None since January 2026</w:t>
            </w:r>
          </w:p>
          <w:p>
            <w:pPr>
              <w:spacing w:line="240" w:lineRule="auto" w:before="40" w:after="40"/>
              <w:jc w:val="left"/>
            </w:pPr>
            <w:r>
              <w:rPr>
                <w:rFonts w:ascii="Times New Roman" w:cs="Times New Roman" w:eastAsia="Times New Roman" w:hAnsi="Times New Roman"/>
                <w:b/>
                <w:bCs/>
                <w:i w:val="false"/>
                <w:iCs w:val="false"/>
                <w:caps w:val="false"/>
                <w:sz w:val="24"/>
                <w:szCs w:val="24"/>
              </w:rPr>
              <w:t xml:space="preserve">SANC registration: </w:t>
            </w:r>
            <w:r>
              <w:rPr>
                <w:rFonts w:ascii="Times New Roman" w:cs="Times New Roman" w:eastAsia="Times New Roman" w:hAnsi="Times New Roman"/>
                <w:b w:val="false"/>
                <w:bCs w:val="false"/>
                <w:i w:val="false"/>
                <w:iCs w:val="false"/>
                <w:caps w:val="false"/>
                <w:sz w:val="24"/>
                <w:szCs w:val="24"/>
              </w:rPr>
              <w:t xml:space="preserve">Lapsed — Applicant cannot practise as a nurse</w:t>
            </w:r>
          </w:p>
          <w:p>
            <w:pPr>
              <w:spacing w:line="240" w:lineRule="auto" w:before="40" w:after="40"/>
              <w:jc w:val="left"/>
            </w:pPr>
            <w:r>
              <w:rPr>
                <w:rFonts w:ascii="Times New Roman" w:cs="Times New Roman" w:eastAsia="Times New Roman" w:hAnsi="Times New Roman"/>
                <w:b/>
                <w:bCs/>
                <w:i w:val="false"/>
                <w:iCs w:val="false"/>
                <w:caps w:val="false"/>
                <w:sz w:val="24"/>
                <w:szCs w:val="24"/>
              </w:rPr>
              <w:t xml:space="preserve">Mental health: </w:t>
            </w:r>
            <w:r>
              <w:rPr>
                <w:rFonts w:ascii="Times New Roman" w:cs="Times New Roman" w:eastAsia="Times New Roman" w:hAnsi="Times New Roman"/>
                <w:b w:val="false"/>
                <w:bCs w:val="false"/>
                <w:i w:val="false"/>
                <w:iCs w:val="false"/>
                <w:caps w:val="false"/>
                <w:sz w:val="24"/>
                <w:szCs w:val="24"/>
              </w:rPr>
              <w:t xml:space="preserve">Severe depression and PTSD — FCPsych(SA) diagnosis</w:t>
            </w:r>
          </w:p>
          <w:p>
            <w:pPr>
              <w:spacing w:line="240" w:lineRule="auto" w:before="40" w:after="40"/>
              <w:jc w:val="left"/>
            </w:pPr>
            <w:r>
              <w:rPr>
                <w:rFonts w:ascii="Times New Roman" w:cs="Times New Roman" w:eastAsia="Times New Roman" w:hAnsi="Times New Roman"/>
                <w:b/>
                <w:bCs/>
                <w:i w:val="false"/>
                <w:iCs w:val="false"/>
                <w:caps w:val="false"/>
                <w:sz w:val="24"/>
                <w:szCs w:val="24"/>
              </w:rPr>
              <w:t xml:space="preserve">Notice to Respondents: </w:t>
            </w:r>
            <w:r>
              <w:rPr>
                <w:rFonts w:ascii="Times New Roman" w:cs="Times New Roman" w:eastAsia="Times New Roman" w:hAnsi="Times New Roman"/>
                <w:b w:val="false"/>
                <w:bCs w:val="false"/>
                <w:i w:val="false"/>
                <w:iCs w:val="false"/>
                <w:caps w:val="false"/>
                <w:sz w:val="24"/>
                <w:szCs w:val="24"/>
              </w:rPr>
              <w:t xml:space="preserve">Final Good Faith Notice delivered 14 March 2026 — no response</w:t>
            </w:r>
          </w:p>
        </w:tc>
      </w:tr>
    </w:tbl>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Applicant submits that he cannot be afforded substantial redress at a hearing in due course. The primary harm — confirmed homelessness — will be irreversible before a normal motion court date can be obtained. The urgency is not self-created; it flows entirely from the Respondents' sustained institutional silence.</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3. READING TIME AND KEY DOCUMENTS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Honourable Judge is respectfully requested to set aside approximately the following reading time before the hearing:</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933"/>
        <w:gridCol w:w="3288"/>
      </w:tblGrid>
      <w:tr>
        <w:tc>
          <w:tcPr>
            <w:tcW w:type="dxa" w:w="4933"/>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Document</w:t>
            </w:r>
          </w:p>
        </w:tc>
        <w:tc>
          <w:tcPr>
            <w:tcW w:type="dxa" w:w="3288"/>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Est. reading time</w:t>
            </w:r>
          </w:p>
        </w:tc>
      </w:tr>
      <w:tr>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Founding Affidavit (25 sections, 303 paragraphs)</w:t>
            </w:r>
          </w:p>
        </w:tc>
        <w:tc>
          <w:tcPr>
            <w:tcW w:type="dxa" w:w="3288"/>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45 minutes</w:t>
            </w:r>
          </w:p>
        </w:tc>
      </w:tr>
      <w:tr>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Notice of Motion</w:t>
            </w:r>
          </w:p>
        </w:tc>
        <w:tc>
          <w:tcPr>
            <w:tcW w:type="dxa" w:w="3288"/>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10 minutes</w:t>
            </w:r>
          </w:p>
        </w:tc>
      </w:tr>
      <w:tr>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Key Annexures (listed at paragraph 3.2 below)</w:t>
            </w:r>
          </w:p>
        </w:tc>
        <w:tc>
          <w:tcPr>
            <w:tcW w:type="dxa" w:w="3288"/>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30 minutes</w:t>
            </w:r>
          </w:p>
        </w:tc>
      </w:tr>
      <w:tr>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bCs/>
                <w:i w:val="false"/>
                <w:iCs w:val="false"/>
                <w:caps w:val="false"/>
                <w:sz w:val="24"/>
                <w:szCs w:val="24"/>
              </w:rPr>
              <w:t xml:space="preserve">TOTAL</w:t>
            </w:r>
          </w:p>
        </w:tc>
        <w:tc>
          <w:tcPr>
            <w:tcW w:type="dxa" w:w="3288"/>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85 minutes</w:t>
            </w:r>
          </w:p>
        </w:tc>
      </w:tr>
    </w:tbl>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following are identified as the critical Annexures to which the Court is respectfully directed: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(a)</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"D" </w:t>
      </w:r>
      <w:r>
        <w:rPr>
          <w:rFonts w:ascii="Times New Roman" w:cs="Times New Roman" w:eastAsia="Times New Roman" w:hAnsi="Times New Roman"/>
          <w:b w:val="false"/>
          <w:bCs w:val="false"/>
          <w:i w:val="false"/>
          <w:iCs w:val="false"/>
          <w:caps w:val="false"/>
          <w:sz w:val="24"/>
          <w:szCs w:val="24"/>
        </w:rPr>
        <w:t xml:space="preserve">— Employment Contract on AfroCentric Investment Corporation letterhead (establishes three-party employment structure);</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(b)</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"F" </w:t>
      </w:r>
      <w:r>
        <w:rPr>
          <w:rFonts w:ascii="Times New Roman" w:cs="Times New Roman" w:eastAsia="Times New Roman" w:hAnsi="Times New Roman"/>
          <w:b w:val="false"/>
          <w:bCs w:val="false"/>
          <w:i w:val="false"/>
          <w:iCs w:val="false"/>
          <w:caps w:val="false"/>
          <w:sz w:val="24"/>
          <w:szCs w:val="24"/>
        </w:rPr>
        <w:t xml:space="preserve">— Cheryl-Dawn Modern written admission of the B-BBEE naming convention mechanism (primary fronting evidence);</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(c)</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"I" </w:t>
      </w:r>
      <w:r>
        <w:rPr>
          <w:rFonts w:ascii="Times New Roman" w:cs="Times New Roman" w:eastAsia="Times New Roman" w:hAnsi="Times New Roman"/>
          <w:b w:val="false"/>
          <w:bCs w:val="false"/>
          <w:i w:val="false"/>
          <w:iCs w:val="false"/>
          <w:caps w:val="false"/>
          <w:sz w:val="24"/>
          <w:szCs w:val="24"/>
        </w:rPr>
        <w:t xml:space="preserve">— July 2025 Payslip confirming the 40.47% unlawful deduction;</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(d)</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"L" </w:t>
      </w:r>
      <w:r>
        <w:rPr>
          <w:rFonts w:ascii="Times New Roman" w:cs="Times New Roman" w:eastAsia="Times New Roman" w:hAnsi="Times New Roman"/>
          <w:b w:val="false"/>
          <w:bCs w:val="false"/>
          <w:i w:val="false"/>
          <w:iCs w:val="false"/>
          <w:caps w:val="false"/>
          <w:sz w:val="24"/>
          <w:szCs w:val="24"/>
        </w:rPr>
        <w:t xml:space="preserve">— GRC1: Priority 1 Material Risk Report with 38 attachments (the document that placed all Individual Respondents on express statutory notice);</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(e)</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"V" </w:t>
      </w:r>
      <w:r>
        <w:rPr>
          <w:rFonts w:ascii="Times New Roman" w:cs="Times New Roman" w:eastAsia="Times New Roman" w:hAnsi="Times New Roman"/>
          <w:b w:val="false"/>
          <w:bCs w:val="false"/>
          <w:i w:val="false"/>
          <w:iCs w:val="false"/>
          <w:caps w:val="false"/>
          <w:sz w:val="24"/>
          <w:szCs w:val="24"/>
        </w:rPr>
        <w:t xml:space="preserve">— False UIF compliance evidence submitted by the Sixth Respondent;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(f)</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"W" </w:t>
      </w:r>
      <w:r>
        <w:rPr>
          <w:rFonts w:ascii="Times New Roman" w:cs="Times New Roman" w:eastAsia="Times New Roman" w:hAnsi="Times New Roman"/>
          <w:b w:val="false"/>
          <w:bCs w:val="false"/>
          <w:i w:val="false"/>
          <w:iCs w:val="false"/>
          <w:caps w:val="false"/>
          <w:sz w:val="24"/>
          <w:szCs w:val="24"/>
        </w:rPr>
        <w:t xml:space="preserve">— uFiling screenshot confirming the June 2025 non-declaration and the R8,863.15 July 2025 declaration gap;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(g)</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"Z" </w:t>
      </w:r>
      <w:r>
        <w:rPr>
          <w:rFonts w:ascii="Times New Roman" w:cs="Times New Roman" w:eastAsia="Times New Roman" w:hAnsi="Times New Roman"/>
          <w:b w:val="false"/>
          <w:bCs w:val="false"/>
          <w:i w:val="false"/>
          <w:iCs w:val="false"/>
          <w:caps w:val="false"/>
          <w:sz w:val="24"/>
          <w:szCs w:val="24"/>
        </w:rPr>
        <w:t xml:space="preserve">— Final Good Faith Notice delivered 14 March 2026 (establishes that Respondents had pre-filing notice of this application).</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4. ISSUES FOR DETERMINATION</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93"/>
        <w:gridCol w:w="4933"/>
        <w:gridCol w:w="2795"/>
      </w:tblGrid>
      <w:tr>
        <w:tc>
          <w:tcPr>
            <w:tcW w:type="dxa" w:w="493"/>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w:t>
            </w:r>
          </w:p>
        </w:tc>
        <w:tc>
          <w:tcPr>
            <w:tcW w:type="dxa" w:w="4933"/>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Issue</w:t>
            </w:r>
          </w:p>
        </w:tc>
        <w:tc>
          <w:tcPr>
            <w:tcW w:type="dxa" w:w="2795"/>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Affidavit reference</w:t>
            </w:r>
          </w:p>
        </w:tc>
      </w:tr>
      <w:tr>
        <w:tc>
          <w:tcPr>
            <w:tcW w:type="dxa" w:w="49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1</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Whether this matter is urgent in terms of Rule 6(12)(b)</w:t>
            </w:r>
          </w:p>
        </w:tc>
        <w:tc>
          <w:tcPr>
            <w:tcW w:type="dxa" w:w="2795"/>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Section 23</w:t>
            </w:r>
          </w:p>
        </w:tc>
      </w:tr>
      <w:tr>
        <w:tc>
          <w:tcPr>
            <w:tcW w:type="dxa" w:w="49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2</w:t>
            </w:r>
          </w:p>
        </w:tc>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Whether the Applicant has standing under s162(2)(c) and/or s162(2)(d)</w:t>
            </w:r>
          </w:p>
        </w:tc>
        <w:tc>
          <w:tcPr>
            <w:tcW w:type="dxa" w:w="2795"/>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Section 1</w:t>
            </w:r>
          </w:p>
        </w:tc>
      </w:tr>
      <w:tr>
        <w:tc>
          <w:tcPr>
            <w:tcW w:type="dxa" w:w="49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3</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Whether the Individual Respondents are delinquent directors under s162(5)(c) and/or (d)</w:t>
            </w:r>
          </w:p>
        </w:tc>
        <w:tc>
          <w:tcPr>
            <w:tcW w:type="dxa" w:w="2795"/>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Sections 17–21</w:t>
            </w:r>
          </w:p>
        </w:tc>
      </w:tr>
      <w:tr>
        <w:tc>
          <w:tcPr>
            <w:tcW w:type="dxa" w:w="49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4</w:t>
            </w:r>
          </w:p>
        </w:tc>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Whether the Fifth Respondent (Company Secretary) is a delinquent officer under s162(5)(c) and/or (d)</w:t>
            </w:r>
          </w:p>
        </w:tc>
        <w:tc>
          <w:tcPr>
            <w:tcW w:type="dxa" w:w="2795"/>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Sections 3 &amp; 17</w:t>
            </w:r>
          </w:p>
        </w:tc>
      </w:tr>
      <w:tr>
        <w:tc>
          <w:tcPr>
            <w:tcW w:type="dxa" w:w="49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center"/>
            </w:pPr>
            <w:r>
              <w:rPr>
                <w:rFonts w:ascii="Times New Roman" w:cs="Times New Roman" w:eastAsia="Times New Roman" w:hAnsi="Times New Roman"/>
                <w:b w:val="false"/>
                <w:bCs w:val="false"/>
                <w:i w:val="false"/>
                <w:iCs w:val="false"/>
                <w:caps w:val="false"/>
                <w:sz w:val="24"/>
                <w:szCs w:val="24"/>
              </w:rPr>
              <w:t xml:space="preserve">5</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Quantum of damages (R5,000,000 or such amount as the Court determines)</w:t>
            </w:r>
          </w:p>
        </w:tc>
        <w:tc>
          <w:tcPr>
            <w:tcW w:type="dxa" w:w="2795"/>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0" w:after="40"/>
              <w:jc w:val="left"/>
            </w:pPr>
            <w:r>
              <w:rPr>
                <w:rFonts w:ascii="Times New Roman" w:cs="Times New Roman" w:eastAsia="Times New Roman" w:hAnsi="Times New Roman"/>
                <w:b w:val="false"/>
                <w:bCs w:val="false"/>
                <w:i w:val="false"/>
                <w:iCs w:val="false"/>
                <w:caps w:val="false"/>
                <w:sz w:val="24"/>
                <w:szCs w:val="24"/>
              </w:rPr>
              <w:t xml:space="preserve">Section 25</w:t>
            </w:r>
          </w:p>
        </w:tc>
      </w:tr>
    </w:tbl>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5. RELIEF SOUGHT IN SUMMARY</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5.1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full relief sought is set out in the Notice of Motion filed simultaneously herewith. In summary, the Applicant seeks:</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(a)</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An order of urgency in terms of Rule 6(12)(b);</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(b)</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Declarations of delinquency against each of the First to Fifth Respondents individually in terms of Section 162 of the Act;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(c)</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Damages of R5,000,000.00, jointly and severally as against the First to Fifth Respondents;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(d)</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Costs on the attorney-and-client scale.</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6. OPPOSING PAPERS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6.1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At the time of filing this Practice Note, no notice of intention to oppose has been filed. The Applicant is not aware of any attorney of record for any Respondent.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6.2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Should any Respondent file an intention to oppose, the Applicant respectfully requests that the Court direct a compressed timeline for answering and replying affidavits commensurate with the urgency of the matter.</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7. CONFIRMATION AND CERTIFICATION</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I, WILBUR WILLIAM MATTHEE, the Applicant, hereby confirm the accuracy of this Practice Note and that the relief sought is based on the facts set out in the Founding Affidavit.</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Dated at Cape Town on this _____ day of ______________________ 2026.</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___________________________________</w:t>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WILBUR WILLIAM MATTHEE</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APPLICANT — SELF-REPRESENTED</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Email: info@ethichawks.co.za</w:t>
      </w:r>
    </w:p>
    <w:sectPr>
      <w:headerReference w:type="default" r:id="rId6"/>
      <w:footerReference w:type="default" r:id="rId7"/>
      <w:pgSz w:w="11906" w:h="16838" w:orient="portrait"/>
      <w:pgMar w:top="1417" w:right="1417" w:bottom="1417"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b w:val="false"/>
        <w:bCs w:val="false"/>
        <w:i/>
        <w:iCs/>
        <w:caps w:val="false"/>
        <w:sz w:val="20"/>
        <w:szCs w:val="20"/>
      </w:rPr>
      <w:t xml:space="preserve">Matthee v Fernandes &amp; Others — Practice Note</w:t>
    </w:r>
    <w:r>
      <w:rPr>
        <w:rFonts w:ascii="Times New Roman" w:cs="Times New Roman" w:eastAsia="Times New Roman" w:hAnsi="Times New Roman"/>
        <w:b w:val="false"/>
        <w:bCs w:val="false"/>
        <w:i w:val="false"/>
        <w:iCs w:val="false"/>
        <w:caps w:val="false"/>
        <w:sz w:val="20"/>
        <w:szCs w:val="20"/>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rFonts w:ascii="Times New Roman" w:cs="Times New Roman" w:eastAsia="Times New Roman" w:hAnsi="Times New Roman"/>
        <w:b w:val="false"/>
        <w:bCs w:val="false"/>
        <w:i/>
        <w:iCs/>
        <w:caps w:val="false"/>
        <w:color w:val="595959"/>
        <w:sz w:val="20"/>
        <w:szCs w:val="20"/>
      </w:rPr>
      <w:t xml:space="preserve">Matthee v Fernandes &amp; Others | Western Cape High Court — Practice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2026-03-17T05:47:28.418Z</dcterms:created>
  <dcterms:modified xsi:type="dcterms:W3CDTF">2026-03-17T05:47:28.419Z</dcterms:modified>
</cp:coreProperties>
</file>

<file path=docProps/custom.xml><?xml version="1.0" encoding="utf-8"?>
<Properties xmlns="http://schemas.openxmlformats.org/officeDocument/2006/custom-properties" xmlns:vt="http://schemas.openxmlformats.org/officeDocument/2006/docPropsVTypes"/>
</file>