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p>
    <w:p>
      <w:pPr>
        <w:spacing w:after="80"/>
        <w:jc w:val="center"/>
      </w:pPr>
      <w:r>
        <w:rPr>
          <w:rFonts w:ascii="Arial" w:cs="Arial" w:eastAsia="Arial" w:hAnsi="Arial"/>
          <w:b/>
          <w:bCs/>
          <w:caps/>
          <w:color w:val="C0392B"/>
          <w:sz w:val="20"/>
          <w:szCs w:val="20"/>
        </w:rPr>
        <w:t xml:space="preserve">WHITE PAPER</w:t>
      </w:r>
    </w:p>
    <w:p>
      <w:pPr>
        <w:spacing w:after="120"/>
        <w:jc w:val="center"/>
      </w:pPr>
      <w:r>
        <w:rPr>
          <w:rFonts w:ascii="Arial" w:cs="Arial" w:eastAsia="Arial" w:hAnsi="Arial"/>
          <w:b/>
          <w:bCs/>
          <w:caps/>
          <w:color w:val="1A1A2E"/>
          <w:sz w:val="52"/>
          <w:szCs w:val="52"/>
        </w:rPr>
        <w:t xml:space="preserve">THE WILBUR METHOD™</w:t>
      </w:r>
    </w:p>
    <w:p>
      <w:pPr>
        <w:spacing w:after="200"/>
        <w:jc w:val="center"/>
      </w:pPr>
      <w:r>
        <w:rPr>
          <w:rFonts w:ascii="Arial" w:cs="Arial" w:eastAsia="Arial" w:hAnsi="Arial"/>
          <w:i/>
          <w:iCs/>
          <w:color w:val="2C3E50"/>
          <w:sz w:val="28"/>
          <w:szCs w:val="28"/>
        </w:rPr>
        <w:t xml:space="preserve">Structural Telemetry and Institutional Governance Auditing</w:t>
      </w:r>
    </w:p>
    <w:p>
      <w:pPr>
        <w:pBdr>
          <w:bottom w:val="single" w:color="C0392B" w:sz="6" w:space="1"/>
        </w:pBdr>
        <w:spacing w:after="360"/>
        <w:jc w:val="center"/>
      </w:pPr>
      <w:r>
        <w:rPr>
          <w:rFonts w:ascii="Arial" w:cs="Arial" w:eastAsia="Arial" w:hAnsi="Arial"/>
          <w:color w:val="666666"/>
          <w:sz w:val="20"/>
          <w:szCs w:val="20"/>
        </w:rPr>
        <w:t xml:space="preserve">EthicHawks Forensic Governance &amp; Compliance Consultancy  •  Cape Town, South Africa</w:t>
      </w:r>
    </w:p>
    <w:p>
      <w:pPr>
        <w:pStyle w:val="Heading1"/>
        <w:spacing w:after="160" w:before="360"/>
      </w:pPr>
      <w:r>
        <w:rPr>
          <w:rFonts w:ascii="Arial" w:cs="Arial" w:eastAsia="Arial" w:hAnsi="Arial"/>
          <w:b/>
          <w:bCs/>
          <w:caps/>
          <w:color w:val="1A1A2E"/>
          <w:sz w:val="28"/>
          <w:szCs w:val="28"/>
        </w:rPr>
        <w:t xml:space="preserve">Overview</w:t>
      </w:r>
    </w:p>
    <w:p>
      <w:pPr>
        <w:spacing w:after="160"/>
        <w:jc w:val="both"/>
      </w:pPr>
      <w:r>
        <w:rPr>
          <w:rFonts w:ascii="Arial" w:cs="Arial" w:eastAsia="Arial" w:hAnsi="Arial"/>
          <w:color w:val="1A1A1A"/>
          <w:sz w:val="22"/>
          <w:szCs w:val="22"/>
        </w:rPr>
        <w:t xml:space="preserve">The Wilbur Method™ is a forensic diagnostic framework designed to identify “Institutional Malice”—the systemic, wilful, or negligent creation of environments that facilitate fraud, maladministration, and clinical failure. Unlike traditional audits that focus on isolated financial or clinical errors, the Wilbur Method™ maps the structural geometry of an organisation to detect anomalies in data flow and operational behaviour in real-time.</w:t>
      </w:r>
    </w:p>
    <w:p>
      <w:pPr>
        <w:spacing w:after="160"/>
        <w:jc w:val="both"/>
      </w:pPr>
      <w:r>
        <w:rPr>
          <w:rFonts w:ascii="Arial" w:cs="Arial" w:eastAsia="Arial" w:hAnsi="Arial"/>
          <w:color w:val="1A1A1A"/>
          <w:sz w:val="22"/>
          <w:szCs w:val="22"/>
        </w:rPr>
        <w:t xml:space="preserve">By integrating triangulated analytics across clinical, financial, and human capital domains, the methodology shifts institutional oversight from retrospective autopsy to predictive governance—providing a standardised, mathematically grounded approach to detecting systemic failure before it becomes irreversible.</w:t>
      </w:r>
    </w:p>
    <w:p>
      <w:pPr>
        <w:pBdr>
          <w:bottom w:val="single" w:color="C0392B" w:sz="6" w:space="1"/>
        </w:pBdr>
        <w:spacing w:after="240"/>
      </w:pPr>
    </w:p>
    <w:p>
      <w:pPr>
        <w:pStyle w:val="Heading1"/>
        <w:spacing w:after="160" w:before="360"/>
      </w:pPr>
      <w:r>
        <w:rPr>
          <w:rFonts w:ascii="Arial" w:cs="Arial" w:eastAsia="Arial" w:hAnsi="Arial"/>
          <w:b/>
          <w:bCs/>
          <w:caps/>
          <w:color w:val="1A1A2E"/>
          <w:sz w:val="28"/>
          <w:szCs w:val="28"/>
        </w:rPr>
        <w:t xml:space="preserve">The Methodology: Triangulated Analytics</w:t>
      </w:r>
    </w:p>
    <w:p>
      <w:pPr>
        <w:spacing w:after="160"/>
        <w:jc w:val="left"/>
      </w:pPr>
      <w:r>
        <w:rPr>
          <w:rFonts w:ascii="Arial" w:cs="Arial" w:eastAsia="Arial" w:hAnsi="Arial"/>
          <w:color w:val="1A1A1A"/>
          <w:sz w:val="22"/>
          <w:szCs w:val="22"/>
        </w:rPr>
        <w:t xml:space="preserve">The method operates by integrating three distinct layers of institutional data through an autonomous, multi-agent AI pipeline:</w:t>
      </w:r>
    </w:p>
    <w:p>
      <w:pPr>
        <w:spacing w:after="80"/>
      </w:pPr>
    </w:p>
    <w:p>
      <w:pPr>
        <w:pStyle w:val="Heading2"/>
        <w:spacing w:after="120" w:before="280"/>
      </w:pPr>
      <w:r>
        <w:rPr>
          <w:rFonts w:ascii="Arial" w:cs="Arial" w:eastAsia="Arial" w:hAnsi="Arial"/>
          <w:b/>
          <w:bCs/>
          <w:color w:val="2C3E50"/>
          <w:sz w:val="24"/>
          <w:szCs w:val="24"/>
        </w:rPr>
        <w:t xml:space="preserve">Layer 1: Clinical Telemetry (“The Floor”)</w:t>
      </w:r>
    </w:p>
    <w:p>
      <w:pPr>
        <w:spacing w:after="160"/>
        <w:jc w:val="both"/>
      </w:pPr>
      <w:r>
        <w:rPr>
          <w:rFonts w:ascii="Arial" w:cs="Arial" w:eastAsia="Arial" w:hAnsi="Arial"/>
          <w:color w:val="1A1A1A"/>
          <w:sz w:val="22"/>
          <w:szCs w:val="22"/>
        </w:rPr>
        <w:t xml:space="preserve">Monitors patient-to-staff ratios, incident report velocity, and clinical intervention overrides. It identifies patterns such as “Suppression Anomalies,” where critical failures are intentionally hidden or under-reported within governance structures.</w:t>
      </w:r>
    </w:p>
    <w:p>
      <w:pPr>
        <w:pStyle w:val="Heading2"/>
        <w:spacing w:after="120" w:before="280"/>
      </w:pPr>
      <w:r>
        <w:rPr>
          <w:rFonts w:ascii="Arial" w:cs="Arial" w:eastAsia="Arial" w:hAnsi="Arial"/>
          <w:b/>
          <w:bCs/>
          <w:color w:val="2C3E50"/>
          <w:sz w:val="24"/>
          <w:szCs w:val="24"/>
        </w:rPr>
        <w:t xml:space="preserve">Layer 2: Procurement &amp; Financial Geometry (“The Flow”)</w:t>
      </w:r>
    </w:p>
    <w:p>
      <w:pPr>
        <w:spacing w:after="160"/>
        <w:jc w:val="both"/>
      </w:pPr>
      <w:r>
        <w:rPr>
          <w:rFonts w:ascii="Arial" w:cs="Arial" w:eastAsia="Arial" w:hAnsi="Arial"/>
          <w:color w:val="1A1A1A"/>
          <w:sz w:val="22"/>
          <w:szCs w:val="22"/>
        </w:rPr>
        <w:t xml:space="preserve">Analyses the temporal patterns of financial transactions. By tracking the “Velocity Bypass”—the time delta between vendor onboarding and payment—the method identifies procedural shortcuts used to circumvent governance controls.</w:t>
      </w:r>
    </w:p>
    <w:p>
      <w:pPr>
        <w:pStyle w:val="Heading2"/>
        <w:spacing w:after="120" w:before="280"/>
      </w:pPr>
      <w:r>
        <w:rPr>
          <w:rFonts w:ascii="Arial" w:cs="Arial" w:eastAsia="Arial" w:hAnsi="Arial"/>
          <w:b/>
          <w:bCs/>
          <w:color w:val="2C3E50"/>
          <w:sz w:val="24"/>
          <w:szCs w:val="24"/>
        </w:rPr>
        <w:t xml:space="preserve">Layer 3: Human Capital Flux (“The Context”)</w:t>
      </w:r>
    </w:p>
    <w:p>
      <w:pPr>
        <w:spacing w:after="160"/>
        <w:jc w:val="both"/>
      </w:pPr>
      <w:r>
        <w:rPr>
          <w:rFonts w:ascii="Arial" w:cs="Arial" w:eastAsia="Arial" w:hAnsi="Arial"/>
          <w:color w:val="1A1A1A"/>
          <w:sz w:val="22"/>
          <w:szCs w:val="22"/>
        </w:rPr>
        <w:t xml:space="preserve">Correlates staff turnover and executive resignations with departmental risk spikes. This maps the human element of systemic rot, identifying when experienced controls are removed from an environment at the exact moment risk increases.</w:t>
      </w:r>
    </w:p>
    <w:p>
      <w:pPr>
        <w:pBdr>
          <w:bottom w:val="single" w:color="C0392B" w:sz="6" w:space="1"/>
        </w:pBdr>
        <w:spacing w:after="240"/>
      </w:pPr>
    </w:p>
    <w:p>
      <w:pPr>
        <w:pStyle w:val="Heading1"/>
        <w:spacing w:after="160" w:before="360"/>
      </w:pPr>
      <w:r>
        <w:rPr>
          <w:rFonts w:ascii="Arial" w:cs="Arial" w:eastAsia="Arial" w:hAnsi="Arial"/>
          <w:b/>
          <w:bCs/>
          <w:caps/>
          <w:color w:val="1A1A2E"/>
          <w:sz w:val="28"/>
          <w:szCs w:val="28"/>
        </w:rPr>
        <w:t xml:space="preserve">Technical Execution: The EthicHawks Engine</w:t>
      </w:r>
    </w:p>
    <w:p>
      <w:pPr>
        <w:spacing w:after="160"/>
        <w:jc w:val="left"/>
      </w:pPr>
      <w:r>
        <w:rPr>
          <w:rFonts w:ascii="Arial" w:cs="Arial" w:eastAsia="Arial" w:hAnsi="Arial"/>
          <w:color w:val="1A1A1A"/>
          <w:sz w:val="22"/>
          <w:szCs w:val="22"/>
        </w:rPr>
        <w:t xml:space="preserve">The Wilbur Method™ is executed via a Python-based FastAPI backend providing the following forensic capabilities:</w:t>
      </w:r>
    </w:p>
    <w:p>
      <w:pPr>
        <w:spacing w:after="80"/>
      </w:pPr>
    </w:p>
    <w:p>
      <w:pPr>
        <w:spacing w:after="160"/>
        <w:jc w:val="both"/>
      </w:pPr>
      <w:r>
        <w:rPr>
          <w:rFonts w:ascii="Arial" w:cs="Arial" w:eastAsia="Arial" w:hAnsi="Arial"/>
          <w:b/>
          <w:bCs/>
          <w:color w:val="1A1A2E"/>
          <w:sz w:val="22"/>
          <w:szCs w:val="22"/>
        </w:rPr>
        <w:t xml:space="preserve">Cryptographic Data Integrity: </w:t>
      </w:r>
      <w:r>
        <w:rPr>
          <w:rFonts w:ascii="Arial" w:cs="Arial" w:eastAsia="Arial" w:hAnsi="Arial"/>
          <w:color w:val="1A1A1A"/>
          <w:sz w:val="22"/>
          <w:szCs w:val="22"/>
        </w:rPr>
        <w:t xml:space="preserve">All sensitive datasets are processed using SHA-256 hashing. This ensures that the original evidence remains immutable; any attempt to alter the underlying data logs will result in a mismatch, providing an indisputable audit trail for legal and forensic proceedings.</w:t>
      </w:r>
    </w:p>
    <w:p>
      <w:pPr>
        <w:spacing w:after="160"/>
        <w:jc w:val="both"/>
      </w:pPr>
      <w:r>
        <w:rPr>
          <w:rFonts w:ascii="Arial" w:cs="Arial" w:eastAsia="Arial" w:hAnsi="Arial"/>
          <w:b/>
          <w:bCs/>
          <w:color w:val="1A1A2E"/>
          <w:sz w:val="22"/>
          <w:szCs w:val="22"/>
        </w:rPr>
        <w:t xml:space="preserve">Immutable Forensic Anchoring: </w:t>
      </w:r>
      <w:r>
        <w:rPr>
          <w:rFonts w:ascii="Arial" w:cs="Arial" w:eastAsia="Arial" w:hAnsi="Arial"/>
          <w:color w:val="1A1A1A"/>
          <w:sz w:val="22"/>
          <w:szCs w:val="22"/>
        </w:rPr>
        <w:t xml:space="preserve">Automatic compilation of event logs into an unalterable PDF Forensic Evidence Bundle upon the triggering of a “Real-Time Red Flag.” This creates a tamper-evident record ready for immediate submission to regulatory committees.</w:t>
      </w:r>
    </w:p>
    <w:p>
      <w:pPr>
        <w:spacing w:after="160"/>
        <w:jc w:val="both"/>
      </w:pPr>
      <w:r>
        <w:rPr>
          <w:rFonts w:ascii="Arial" w:cs="Arial" w:eastAsia="Arial" w:hAnsi="Arial"/>
          <w:b/>
          <w:bCs/>
          <w:color w:val="1A1A2E"/>
          <w:sz w:val="22"/>
          <w:szCs w:val="22"/>
        </w:rPr>
        <w:t xml:space="preserve">Privacy-First Data Anonymisation: </w:t>
      </w:r>
      <w:r>
        <w:rPr>
          <w:rFonts w:ascii="Arial" w:cs="Arial" w:eastAsia="Arial" w:hAnsi="Arial"/>
          <w:color w:val="1A1A1A"/>
          <w:sz w:val="22"/>
          <w:szCs w:val="22"/>
        </w:rPr>
        <w:t xml:space="preserve">Beyond hashing, all patient and personnel identifiers are tokenised at the point of ingestion to ensure full compliance with POPIA standards. The methodology focuses strictly on systemic behaviour and structural risk.</w:t>
      </w:r>
    </w:p>
    <w:p>
      <w:pPr>
        <w:spacing w:after="160"/>
        <w:jc w:val="both"/>
      </w:pPr>
      <w:r>
        <w:rPr>
          <w:rFonts w:ascii="Arial" w:cs="Arial" w:eastAsia="Arial" w:hAnsi="Arial"/>
          <w:b/>
          <w:bCs/>
          <w:color w:val="1A1A2E"/>
          <w:sz w:val="22"/>
          <w:szCs w:val="22"/>
        </w:rPr>
        <w:t xml:space="preserve">Real-Time Alerts: </w:t>
      </w:r>
      <w:r>
        <w:rPr>
          <w:rFonts w:ascii="Arial" w:cs="Arial" w:eastAsia="Arial" w:hAnsi="Arial"/>
          <w:color w:val="1A1A1A"/>
          <w:sz w:val="22"/>
          <w:szCs w:val="22"/>
        </w:rPr>
        <w:t xml:space="preserve">Integration of threshold-based triggers that provide proactive warnings to governance boards before clinical or financial thresholds are breached.</w:t>
      </w:r>
    </w:p>
    <w:p>
      <w:pPr>
        <w:pBdr>
          <w:bottom w:val="single" w:color="C0392B" w:sz="6" w:space="1"/>
        </w:pBdr>
        <w:spacing w:after="240"/>
      </w:pPr>
    </w:p>
    <w:p>
      <w:pPr>
        <w:pStyle w:val="Heading1"/>
        <w:spacing w:after="160" w:before="360"/>
      </w:pPr>
      <w:r>
        <w:rPr>
          <w:rFonts w:ascii="Arial" w:cs="Arial" w:eastAsia="Arial" w:hAnsi="Arial"/>
          <w:b/>
          <w:bCs/>
          <w:caps/>
          <w:color w:val="1A1A2E"/>
          <w:sz w:val="28"/>
          <w:szCs w:val="28"/>
        </w:rPr>
        <w:t xml:space="preserve">Forensic Application</w:t>
      </w:r>
    </w:p>
    <w:p>
      <w:pPr>
        <w:spacing w:after="160"/>
        <w:jc w:val="both"/>
      </w:pPr>
      <w:r>
        <w:rPr>
          <w:rFonts w:ascii="Arial" w:cs="Arial" w:eastAsia="Arial" w:hAnsi="Arial"/>
          <w:color w:val="1A1A1A"/>
          <w:sz w:val="22"/>
          <w:szCs w:val="22"/>
        </w:rPr>
        <w:t xml:space="preserve">The Wilbur Method™ shifts institutional oversight from Retrospective Autopsy to Predictive Governance. By providing a standardised, mathematical approach to detecting systemic failure, it empowers regulatory bodies—including the SIU, the CMS, and parliamentary oversight committees—to:</w:t>
      </w:r>
    </w:p>
    <w:p>
      <w:pPr>
        <w:spacing w:after="80"/>
      </w:pPr>
    </w:p>
    <w:p>
      <w:pPr>
        <w:pStyle w:val="ListParagraph"/>
        <w:numPr>
          <w:ilvl w:val="0"/>
          <w:numId w:val="2"/>
        </w:numPr>
        <w:spacing w:after="100"/>
      </w:pPr>
      <w:r>
        <w:rPr>
          <w:rFonts w:ascii="Arial" w:cs="Arial" w:eastAsia="Arial" w:hAnsi="Arial"/>
          <w:color w:val="1A1A1A"/>
          <w:sz w:val="22"/>
          <w:szCs w:val="22"/>
        </w:rPr>
        <w:t xml:space="preserve">Standardise the audit-readiness of any contracted service provider.</w:t>
      </w:r>
    </w:p>
    <w:p>
      <w:pPr>
        <w:pStyle w:val="ListParagraph"/>
        <w:numPr>
          <w:ilvl w:val="0"/>
          <w:numId w:val="2"/>
        </w:numPr>
        <w:spacing w:after="100"/>
      </w:pPr>
      <w:r>
        <w:rPr>
          <w:rFonts w:ascii="Arial" w:cs="Arial" w:eastAsia="Arial" w:hAnsi="Arial"/>
          <w:color w:val="1A1A1A"/>
          <w:sz w:val="22"/>
          <w:szCs w:val="22"/>
        </w:rPr>
        <w:t xml:space="preserve">Allocate investigative resources based on data-driven “Risk Heat-Maps” rather than anecdotal reports.</w:t>
      </w:r>
    </w:p>
    <w:p>
      <w:pPr>
        <w:pStyle w:val="ListParagraph"/>
        <w:numPr>
          <w:ilvl w:val="0"/>
          <w:numId w:val="2"/>
        </w:numPr>
        <w:spacing w:after="100"/>
      </w:pPr>
      <w:r>
        <w:rPr>
          <w:rFonts w:ascii="Arial" w:cs="Arial" w:eastAsia="Arial" w:hAnsi="Arial"/>
          <w:color w:val="1A1A1A"/>
          <w:sz w:val="22"/>
          <w:szCs w:val="22"/>
        </w:rPr>
        <w:t xml:space="preserve">Secure a forensic-grade record of any identified malice, backed by cryptographic verification, ready for litigation.</w:t>
      </w:r>
    </w:p>
    <w:p>
      <w:pPr>
        <w:spacing w:after="120"/>
      </w:pPr>
    </w:p>
    <w:p>
      <w:pPr>
        <w:spacing w:after="160"/>
        <w:jc w:val="both"/>
      </w:pPr>
      <w:r>
        <w:rPr>
          <w:rFonts w:ascii="Arial" w:cs="Arial" w:eastAsia="Arial" w:hAnsi="Arial"/>
          <w:color w:val="1A1A1A"/>
          <w:sz w:val="22"/>
          <w:szCs w:val="22"/>
        </w:rPr>
        <w:t xml:space="preserve">When applied to the National Health Insurance infrastructure, this methodology provides the SIU with the diagnostic capability to transform the national health sector from a reactive system into a transparent, self-governing asset—one where maladministration leaves a traceable, evidence-backed signature.</w:t>
      </w:r>
    </w:p>
    <w:p>
      <w:pPr>
        <w:pBdr>
          <w:bottom w:val="single" w:color="C0392B" w:sz="6" w:space="1"/>
        </w:pBdr>
        <w:spacing w:after="240"/>
      </w:pPr>
    </w:p>
    <w:p>
      <w:pPr>
        <w:pStyle w:val="Heading1"/>
        <w:spacing w:after="160" w:before="360"/>
      </w:pPr>
      <w:r>
        <w:rPr>
          <w:rFonts w:ascii="Arial" w:cs="Arial" w:eastAsia="Arial" w:hAnsi="Arial"/>
          <w:b/>
          <w:bCs/>
          <w:caps/>
          <w:color w:val="1A1A2E"/>
          <w:sz w:val="28"/>
          <w:szCs w:val="28"/>
        </w:rPr>
        <w:t xml:space="preserve">Conclusion</w:t>
      </w:r>
    </w:p>
    <w:p>
      <w:pPr>
        <w:spacing w:after="160"/>
        <w:jc w:val="both"/>
      </w:pPr>
      <w:r>
        <w:rPr>
          <w:rFonts w:ascii="Arial" w:cs="Arial" w:eastAsia="Arial" w:hAnsi="Arial"/>
          <w:color w:val="1A1A1A"/>
          <w:sz w:val="22"/>
          <w:szCs w:val="22"/>
        </w:rPr>
        <w:t xml:space="preserve">The Wilbur Method™ represents a scalable, repeatable, and non-intrusive solution for protecting state assets and public health resources. It demonstrates that:</w:t>
      </w:r>
    </w:p>
    <w:p>
      <w:pPr>
        <w:spacing w:after="80"/>
      </w:pPr>
    </w:p>
    <w:p>
      <w:pPr>
        <w:pStyle w:val="ListParagraph"/>
        <w:numPr>
          <w:ilvl w:val="0"/>
          <w:numId w:val="3"/>
        </w:numPr>
        <w:spacing w:after="100"/>
      </w:pPr>
      <w:r>
        <w:rPr>
          <w:rFonts w:ascii="Arial" w:cs="Arial" w:eastAsia="Arial" w:hAnsi="Arial"/>
          <w:color w:val="1A1A1A"/>
          <w:sz w:val="22"/>
          <w:szCs w:val="22"/>
        </w:rPr>
        <w:t xml:space="preserve">Technical Sophistication: The inclusion of SHA-256 cryptographic standards ensures the system meets the evidentiary requirements of criminal and civil investigations.</w:t>
      </w:r>
    </w:p>
    <w:p>
      <w:pPr>
        <w:pStyle w:val="ListParagraph"/>
        <w:numPr>
          <w:ilvl w:val="0"/>
          <w:numId w:val="3"/>
        </w:numPr>
        <w:spacing w:after="100"/>
      </w:pPr>
      <w:r>
        <w:rPr>
          <w:rFonts w:ascii="Arial" w:cs="Arial" w:eastAsia="Arial" w:hAnsi="Arial"/>
          <w:color w:val="1A1A1A"/>
          <w:sz w:val="22"/>
          <w:szCs w:val="22"/>
        </w:rPr>
        <w:t xml:space="preserve">Operational Value: The sustained focus on “Institutional Malice” and systemic protection aligns directly with the SIU’s core investigative mandate.</w:t>
      </w:r>
    </w:p>
    <w:p>
      <w:pPr>
        <w:pStyle w:val="ListParagraph"/>
        <w:numPr>
          <w:ilvl w:val="0"/>
          <w:numId w:val="3"/>
        </w:numPr>
        <w:spacing w:after="100"/>
      </w:pPr>
      <w:r>
        <w:rPr>
          <w:rFonts w:ascii="Arial" w:cs="Arial" w:eastAsia="Arial" w:hAnsi="Arial"/>
          <w:color w:val="1A1A1A"/>
          <w:sz w:val="22"/>
          <w:szCs w:val="22"/>
        </w:rPr>
        <w:t xml:space="preserve">Professional Credibility: The framework stands as a self-contained forensic instrument that can be presented to any high-level investigator, legal official, or regulatory authority.</w:t>
      </w:r>
    </w:p>
    <w:p>
      <w:pPr>
        <w:spacing w:after="240"/>
      </w:pPr>
    </w:p>
    <w:p>
      <w:pPr>
        <w:pBdr>
          <w:top w:val="single" w:color="C0392B" w:sz="4" w:space="1"/>
        </w:pBdr>
        <w:spacing w:before="200"/>
        <w:jc w:val="center"/>
      </w:pPr>
      <w:r>
        <w:rPr>
          <w:rFonts w:ascii="Arial" w:cs="Arial" w:eastAsia="Arial" w:hAnsi="Arial"/>
          <w:i/>
          <w:iCs/>
          <w:color w:val="888888"/>
          <w:sz w:val="18"/>
          <w:szCs w:val="18"/>
        </w:rPr>
        <w:t xml:space="preserve">EthicHawks Forensic Governance &amp; Compliance Consultancy  •  Cape Town, South Africa</w:t>
      </w:r>
    </w:p>
    <w:p>
      <w:pPr>
        <w:jc w:val="center"/>
      </w:pPr>
      <w:r>
        <w:rPr>
          <w:rFonts w:ascii="Arial" w:cs="Arial" w:eastAsia="Arial" w:hAnsi="Arial"/>
          <w:i/>
          <w:iCs/>
          <w:color w:val="888888"/>
          <w:sz w:val="18"/>
          <w:szCs w:val="18"/>
        </w:rPr>
        <w:t xml:space="preserve">The Wilbur Method™ is a proprietary analytical framework. All rights reserved.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space="1"/>
      </w:pBdr>
      <w:tabs>
        <w:tab w:val="right" w:pos="9026"/>
      </w:tabs>
      <w:spacing w:before="120"/>
    </w:pPr>
    <w:r>
      <w:rPr>
        <w:rFonts w:ascii="Arial" w:cs="Arial" w:eastAsia="Arial" w:hAnsi="Arial"/>
        <w:color w:val="888888"/>
        <w:sz w:val="16"/>
        <w:szCs w:val="16"/>
      </w:rPr>
      <w:t xml:space="preserve">The Wilbur Method™ | Structural Telemetry &amp; Institutional Governance Auditing</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1"/>
      </w:pBdr>
      <w:spacing w:after="160"/>
    </w:pPr>
    <w:r>
      <w:rPr>
        <w:rFonts w:ascii="Arial" w:cs="Arial" w:eastAsia="Arial" w:hAnsi="Arial"/>
        <w:b/>
        <w:bCs/>
        <w:color w:val="1A1A2E"/>
        <w:sz w:val="18"/>
        <w:szCs w:val="18"/>
      </w:rPr>
      <w:t xml:space="preserve">EthicHawks Forensic Governance &amp; Compliance Consultancy</w:t>
    </w:r>
    <w:r>
      <w:rPr>
        <w:rFonts w:ascii="Arial" w:cs="Arial" w:eastAsia="Arial" w:hAnsi="Arial"/>
        <w:color w:val="888888"/>
        <w:sz w:val="18"/>
        <w:szCs w:val="18"/>
      </w:rPr>
      <w:t xml:space="preserve">  |  PROPRIETARY &amp;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2026-06-26T11:26:40.746Z</dcterms:created>
  <dcterms:modified xsi:type="dcterms:W3CDTF">2026-06-26T11:26:40.756Z</dcterms:modified>
</cp:coreProperties>
</file>

<file path=docProps/custom.xml><?xml version="1.0" encoding="utf-8"?>
<Properties xmlns="http://schemas.openxmlformats.org/officeDocument/2006/custom-properties" xmlns:vt="http://schemas.openxmlformats.org/officeDocument/2006/docPropsVTypes"/>
</file>