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3c31fe7ee846fc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</w:rPr>
        <w:t>EthicHawks Forensic Governance Consultancy</w:t>
      </w:r>
      <w:r>
        <w:br/>
      </w:r>
      <w:r>
        <w:t>Cape Town, South Africa</w:t>
      </w:r>
      <w:r>
        <w:br/>
      </w:r>
      <w:r>
        <w:t>info@ethichawks.co.za</w:t>
      </w:r>
    </w:p>
    <w:p>
      <w:pPr>
        <w:spacing w:before="400"/>
      </w:pPr>
    </w:p>
    <w:p>
      <w:r>
        <w:t>12 April 2026</w:t>
      </w:r>
    </w:p>
    <w:p>
      <w:pPr>
        <w:spacing w:before="200"/>
      </w:pPr>
    </w:p>
    <w:p>
      <w:r>
        <w:rPr>
          <w:b/>
        </w:rPr>
        <w:t>TO: </w:t>
      </w:r>
      <w:r>
        <w:t>The Executive Director</w:t>
      </w:r>
    </w:p>
    <w:p>
      <w:r>
        <w:t>Independent Regulatory Board for Auditors (IRBA)</w:t>
      </w:r>
    </w:p>
    <w:p>
      <w:r>
        <w:t>Building 1, Thornhill Office Park, 94 Bekker Road, Midrand</w:t>
      </w:r>
    </w:p>
    <w:p>
      <w:pPr>
        <w:spacing w:before="200"/>
      </w:pPr>
    </w:p>
    <w:p>
      <w:r>
        <w:rPr>
          <w:b/>
        </w:rPr>
        <w:t>SUBJECT: </w:t>
      </w:r>
      <w:r>
        <w:rPr>
          <w:b/>
          <w:u w:val="single"/>
        </w:rPr>
        <w:t>FORMAL COMPLAINT - AUDIT QUALITY CONCERN - KPMG INC. AUDIT OF AFROCENTRIC INVESTMENT CORPORATION LIMITED</w:t>
      </w:r>
    </w:p>
    <w:p>
      <w:pPr>
        <w:spacing w:before="200"/>
      </w:pPr>
    </w:p>
    <w:p>
      <w:r>
        <w:t>Dear Executive Director,</w:t>
      </w:r>
    </w:p>
    <w:p>
      <w:pPr>
        <w:spacing w:before="200"/>
      </w:pPr>
    </w:p>
    <w:p>
      <w:r>
        <w:t>I submit this formal complaint regarding the </w:t>
      </w:r>
      <w:r>
        <w:rPr>
          <w:b/>
        </w:rPr>
        <w:t>audit of AfroCentric Investment Corporation Limited</w:t>
      </w:r>
      <w:r>
        <w:t> (JSE Code: ACT) by KPMG Inc. for the year ended 31 December 2025. The audit opinion, dated 4 March 2026, was unmodified despite material misrepresentations and omissions in the Integrated Annual Report.</w:t>
      </w:r>
    </w:p>
    <w:p>
      <w:pPr>
        <w:pStyle w:val="Heading1"/>
      </w:pPr>
      <w:r>
        <w:t>1. COMPLAINANT DETAILS</w:t>
      </w:r>
    </w:p>
    <w:p>
      <w:pPr>
        <w:ind w:left="720" w:hanging="360"/>
      </w:pPr>
      <w:r>
        <w:t xml:space="preserve">•  </w:t>
      </w:r>
      <w:r>
        <w:t>Name: Wilbur William Matthee</w:t>
      </w:r>
    </w:p>
    <w:p>
      <w:pPr>
        <w:ind w:left="720" w:hanging="360"/>
      </w:pPr>
      <w:r>
        <w:t xml:space="preserve">•  </w:t>
      </w:r>
      <w:r>
        <w:t>Capacity: Former employee; whistleblower; affected party</w:t>
      </w:r>
    </w:p>
    <w:p>
      <w:pPr>
        <w:ind w:left="720" w:hanging="360"/>
      </w:pPr>
      <w:r>
        <w:t xml:space="preserve">•  </w:t>
      </w:r>
      <w:r>
        <w:t>Contact: info@ethichawks.co.za | 069 635 1435</w:t>
      </w:r>
    </w:p>
    <w:p>
      <w:pPr>
        <w:pStyle w:val="Heading1"/>
      </w:pPr>
      <w:r>
        <w:t>2. AUDIT DETAILS</w:t>
      </w:r>
    </w:p>
    <w:p>
      <w:pPr>
        <w:ind w:left="720" w:hanging="360"/>
      </w:pPr>
      <w:r>
        <w:t xml:space="preserve">•  </w:t>
      </w:r>
      <w:r>
        <w:t>Audited Entity: AfroCentric Investment Corporation Limited</w:t>
      </w:r>
    </w:p>
    <w:p>
      <w:pPr>
        <w:ind w:left="720" w:hanging="360"/>
      </w:pPr>
      <w:r>
        <w:t xml:space="preserve">•  </w:t>
      </w:r>
      <w:r>
        <w:t>JSE Code: ACT</w:t>
      </w:r>
    </w:p>
    <w:p>
      <w:pPr>
        <w:ind w:left="720" w:hanging="360"/>
      </w:pPr>
      <w:r>
        <w:t xml:space="preserve">•  </w:t>
      </w:r>
      <w:r>
        <w:t>Auditor: KPMG Inc.</w:t>
      </w:r>
    </w:p>
    <w:p>
      <w:pPr>
        <w:ind w:left="720" w:hanging="360"/>
      </w:pPr>
      <w:r>
        <w:t xml:space="preserve">•  </w:t>
      </w:r>
      <w:r>
        <w:t>Audit Opinion Date: 4 March 2026</w:t>
      </w:r>
    </w:p>
    <w:p>
      <w:pPr>
        <w:ind w:left="720" w:hanging="360"/>
      </w:pPr>
      <w:r>
        <w:t xml:space="preserve">•  </w:t>
      </w:r>
      <w:r>
        <w:t>Opinion Type: Unmodified</w:t>
      </w:r>
    </w:p>
    <w:p>
      <w:pPr>
        <w:ind w:left="720" w:hanging="360"/>
      </w:pPr>
      <w:r>
        <w:t xml:space="preserve">•  </w:t>
      </w:r>
      <w:r>
        <w:t>Report Approval Date: 31 March 2026</w:t>
      </w:r>
    </w:p>
    <w:p>
      <w:pPr>
        <w:pStyle w:val="Heading1"/>
      </w:pPr>
      <w:r>
        <w:t>3. ALLEGED AUDIT FAILURES</w:t>
      </w:r>
    </w:p>
    <w:p>
      <w:pPr>
        <w:pStyle w:val="Heading2"/>
      </w:pPr>
      <w:r>
        <w:t>3.1 Failure to Identify Material Omissions</w:t>
      </w:r>
    </w:p>
    <w:p>
      <w:r>
        <w:t>The Integrated Annual Report (audited by KPMG) omitted the following material information that existed at the audit date or shortly thereafter:</w:t>
      </w:r>
    </w:p>
    <w:p>
      <w:pPr>
        <w:ind w:left="720" w:hanging="360"/>
      </w:pPr>
      <w:r>
        <w:t xml:space="preserve">1. </w:t>
      </w:r>
      <w:r>
        <w:t>Section 162 Director Delinquency proceedings filed 25 March 2026;</w:t>
      </w:r>
    </w:p>
    <w:p>
      <w:pPr>
        <w:ind w:left="720" w:hanging="360"/>
      </w:pPr>
      <w:r>
        <w:t xml:space="preserve">2. </w:t>
      </w:r>
      <w:r>
        <w:t>Priority 1 Gexus-DMS integration failure affecting member safety;</w:t>
      </w:r>
    </w:p>
    <w:p>
      <w:pPr>
        <w:ind w:left="720" w:hanging="360"/>
      </w:pPr>
      <w:r>
        <w:t xml:space="preserve">3. </w:t>
      </w:r>
      <w:r>
        <w:t>B-BBEE Commission investigation into fronting allegations;</w:t>
      </w:r>
    </w:p>
    <w:p>
      <w:pPr>
        <w:ind w:left="720" w:hanging="360"/>
      </w:pPr>
      <w:r>
        <w:t xml:space="preserve">4. </w:t>
      </w:r>
      <w:r>
        <w:t>CMS referral of 'Administrative Misconduct and Ethical Failure';</w:t>
      </w:r>
    </w:p>
    <w:p>
      <w:pPr>
        <w:ind w:left="720" w:hanging="360"/>
      </w:pPr>
      <w:r>
        <w:t xml:space="preserve">5. </w:t>
      </w:r>
      <w:r>
        <w:t>SAPS criminal case for statutory fraud.</w:t>
      </w:r>
    </w:p>
    <w:p>
      <w:pPr>
        <w:pStyle w:val="Heading2"/>
      </w:pPr>
      <w:r>
        <w:t>3.2 Failure to Assess Going Concern</w:t>
      </w:r>
    </w:p>
    <w:p>
      <w:r>
        <w:t>The pending Section 162 proceedings, regulatory investigations, and potential loss of major contracts (Bonitas) may affect the company's ability to continue as a going concern. The audit opinion does not appear to have adequately considered these risks.</w:t>
      </w:r>
    </w:p>
    <w:p>
      <w:pPr>
        <w:pStyle w:val="Heading2"/>
      </w:pPr>
      <w:r>
        <w:t>3.3 Failure to Evaluate Internal Controls</w:t>
      </w:r>
    </w:p>
    <w:p>
      <w:r>
        <w:t>The documented suppression of a Priority 1 Material Risk Report by the Chief Risk Officer (18 December 2025) indicates material weaknesses in internal controls over risk reporting. The audit should have identified and reported these weaknesses.</w:t>
      </w:r>
    </w:p>
    <w:p>
      <w:pPr>
        <w:pStyle w:val="Heading1"/>
      </w:pPr>
      <w:r>
        <w:t>4. RELEVANT AUDITING STANDARDS</w:t>
      </w:r>
    </w:p>
    <w:p>
      <w:r>
        <w:t>The alleged failures may constitute breaches of the following International Standards on Auditing (ISAs):</w:t>
      </w:r>
    </w:p>
    <w:p>
      <w:pPr>
        <w:ind w:left="720" w:hanging="360"/>
      </w:pPr>
      <w:r>
        <w:t xml:space="preserve">•  </w:t>
      </w:r>
      <w:r>
        <w:t>ISA 240 - The Auditor's Responsibilities Relating to Fraud in an Audit of Financial Statements;</w:t>
      </w:r>
    </w:p>
    <w:p>
      <w:pPr>
        <w:ind w:left="720" w:hanging="360"/>
      </w:pPr>
      <w:r>
        <w:t xml:space="preserve">•  </w:t>
      </w:r>
      <w:r>
        <w:t>ISA 250 - Consideration of Laws and Regulations in an Audit of Financial Statements;</w:t>
      </w:r>
    </w:p>
    <w:p>
      <w:pPr>
        <w:ind w:left="720" w:hanging="360"/>
      </w:pPr>
      <w:r>
        <w:t xml:space="preserve">•  </w:t>
      </w:r>
      <w:r>
        <w:t>ISA 315 - Identifying and Assessing the Risks of Material Misstatement;</w:t>
      </w:r>
    </w:p>
    <w:p>
      <w:pPr>
        <w:ind w:left="720" w:hanging="360"/>
      </w:pPr>
      <w:r>
        <w:t xml:space="preserve">•  </w:t>
      </w:r>
      <w:r>
        <w:t>ISA 570 - Going Concern;</w:t>
      </w:r>
    </w:p>
    <w:p>
      <w:pPr>
        <w:ind w:left="720" w:hanging="360"/>
      </w:pPr>
      <w:r>
        <w:t xml:space="preserve">•  </w:t>
      </w:r>
      <w:r>
        <w:t>ISA 700 - Forming an Opinion and Reporting on Financial Statements.</w:t>
      </w:r>
    </w:p>
    <w:p>
      <w:pPr>
        <w:pStyle w:val="Heading1"/>
      </w:pPr>
      <w:r>
        <w:t>5. REQUESTED ACTION</w:t>
      </w:r>
    </w:p>
    <w:p>
      <w:r>
        <w:t>I respectfully request that IRBA:</w:t>
      </w:r>
    </w:p>
    <w:p>
      <w:pPr>
        <w:ind w:left="720" w:hanging="360"/>
      </w:pPr>
      <w:r>
        <w:t xml:space="preserve">1. </w:t>
      </w:r>
      <w:r>
        <w:t>Investigate the quality of the KPMG audit of AfroCentric;</w:t>
      </w:r>
    </w:p>
    <w:p>
      <w:pPr>
        <w:ind w:left="720" w:hanging="360"/>
      </w:pPr>
      <w:r>
        <w:t xml:space="preserve">2. </w:t>
      </w:r>
      <w:r>
        <w:t>Assess whether the audit was conducted in accordance with International Standards on Auditing;</w:t>
      </w:r>
    </w:p>
    <w:p>
      <w:pPr>
        <w:ind w:left="720" w:hanging="360"/>
      </w:pPr>
      <w:r>
        <w:t xml:space="preserve">3. </w:t>
      </w:r>
      <w:r>
        <w:t>Determine whether KPMG had access to or should have identified the material omissions;</w:t>
      </w:r>
    </w:p>
    <w:p>
      <w:pPr>
        <w:ind w:left="720" w:hanging="360"/>
      </w:pPr>
      <w:r>
        <w:t xml:space="preserve">4. </w:t>
      </w:r>
      <w:r>
        <w:t>Consider whether the audit firm's quality control procedures were adequate;</w:t>
      </w:r>
    </w:p>
    <w:p>
      <w:pPr>
        <w:ind w:left="720" w:hanging="360"/>
      </w:pPr>
      <w:r>
        <w:t xml:space="preserve">5. </w:t>
      </w:r>
      <w:r>
        <w:t>Take appropriate disciplinary action if audit failures are substantiated.</w:t>
      </w:r>
    </w:p>
    <w:p>
      <w:pPr>
        <w:pStyle w:val="Heading1"/>
      </w:pPr>
      <w:r>
        <w:t>6. SUPPORTING EVIDENCE</w:t>
      </w:r>
    </w:p>
    <w:p>
      <w:pPr>
        <w:ind w:left="720" w:hanging="360"/>
      </w:pPr>
      <w:r>
        <w:t xml:space="preserve">•  </w:t>
      </w:r>
      <w:r>
        <w:t>AfroCentric Integrated Annual Report 2025 (audited by KPMG);</w:t>
      </w:r>
    </w:p>
    <w:p>
      <w:pPr>
        <w:ind w:left="720" w:hanging="360"/>
      </w:pPr>
      <w:r>
        <w:t xml:space="preserve">•  </w:t>
      </w:r>
      <w:r>
        <w:t>Protected Disclosure dated 2 April 2026;</w:t>
      </w:r>
    </w:p>
    <w:p>
      <w:pPr>
        <w:ind w:left="720" w:hanging="360"/>
      </w:pPr>
      <w:r>
        <w:t xml:space="preserve">•  </w:t>
      </w:r>
      <w:r>
        <w:t>Western Cape High Court Section 162 Application;</w:t>
      </w:r>
    </w:p>
    <w:p>
      <w:pPr>
        <w:ind w:left="720" w:hanging="360"/>
      </w:pPr>
      <w:r>
        <w:t xml:space="preserve">•  </w:t>
      </w:r>
      <w:r>
        <w:t>B-BBEE Commission Case File;</w:t>
      </w:r>
    </w:p>
    <w:p>
      <w:pPr>
        <w:ind w:left="720" w:hanging="360"/>
      </w:pPr>
      <w:r>
        <w:t xml:space="preserve">•  </w:t>
      </w:r>
      <w:r>
        <w:t>CMS Referral documentation.</w:t>
      </w:r>
    </w:p>
    <w:p>
      <w:pPr>
        <w:spacing w:before="400"/>
      </w:pPr>
    </w:p>
    <w:p>
      <w:r>
        <w:t>This complaint is submitted in good faith under the Protected Disclosures Act 26 of 2000.</w:t>
      </w:r>
    </w:p>
    <w:p>
      <w:pPr>
        <w:spacing w:before="400"/>
      </w:pPr>
    </w:p>
    <w:p>
      <w:r>
        <w:t>Yours faithfully,</w:t>
      </w:r>
    </w:p>
    <w:p>
      <w:pPr>
        <w:spacing w:before="200"/>
      </w:pPr>
    </w:p>
    <w:p>
      <w:r>
        <w:rPr>
          <w:b/>
        </w:rPr>
        <w:t>Wilbur William Matthee</w:t>
      </w:r>
    </w:p>
    <w:p>
      <w:r>
        <w:t>Registered Nurse Specialist | Forensic Governance Practitioner</w:t>
      </w:r>
    </w:p>
    <w:p>
      <w:r>
        <w:t>12 April 2026</w:t>
      </w:r>
    </w:p>
    <w:sectPr>
      <w:headerReference xmlns:r="http://schemas.openxmlformats.org/officeDocument/2006/relationships" w:type="default" r:id="Rafda3ad9be024abc"/>
      <w:footerReference xmlns:r="http://schemas.openxmlformats.org/officeDocument/2006/relationships" w:type="default" r:id="Rd2ed91b27c5446d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4a5568"/>
        <w:sz w:val="2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4a5568"/>
        <w:sz w:val="20"/>
      </w:rPr>
      <w:t xml:space="preserve"> of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1a365d" w:sz="6"/>
      </w:pBdr>
      <w:jc w:val="center"/>
    </w:pPr>
    <w:r>
      <w:rPr>
        <w:b/>
        <w:color w:val="1a365d"/>
        <w:sz w:val="20"/>
      </w:rPr>
      <w:t>IRBA COMPLAINT - AUDIT QUALITY CONCERN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Times New Roman" w:hAnsi="Times New Roman"/>
      <w:color w:val="1a202c"/>
      <w:sz w:val="24"/>
    </w:rPr>
  </w:style>
  <w:style w:type="paragraph" w:styleId="Heading1">
    <w:name w:val="heading 1"/>
    <w:basedOn w:val="Normal"/>
    <w:pPr>
      <w:keepNext/>
      <w:spacing w:before="400" w:after="200"/>
      <w:outlineLvl w:val="0"/>
    </w:pPr>
    <w:rPr>
      <w:b/>
      <w:color w:val="1a365d"/>
      <w:sz w:val="28"/>
    </w:rPr>
  </w:style>
  <w:style w:type="paragraph" w:styleId="Heading2">
    <w:name w:val="heading 2"/>
    <w:basedOn w:val="Normal"/>
    <w:pPr>
      <w:keepNext/>
      <w:spacing w:before="300" w:after="120"/>
      <w:outlineLvl w:val="1"/>
    </w:pPr>
    <w:rPr>
      <w:b/>
      <w:color w:val="1a365d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f7e358bce754fee" /><Relationship Type="http://schemas.openxmlformats.org/officeDocument/2006/relationships/header" Target="/word/header1.xml" Id="Rafda3ad9be024abc" /><Relationship Type="http://schemas.openxmlformats.org/officeDocument/2006/relationships/footer" Target="/word/footer1.xml" Id="Rd2ed91b27c5446d3" /></Relationships>
</file>