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84af1d336f584cad" /></Relationships>
</file>

<file path=word/document.xml><?xml version="1.0" encoding="utf-8"?>
<w:document xmlns:r="http://schemas.openxmlformats.org/officeDocument/2006/relationships" xmlns:w="http://schemas.openxmlformats.org/wordprocessingml/2006/main">
  <w:body>
    <w:p>
      <w:pPr>
        <w:jc w:val="right"/>
      </w:pPr>
      <w:r>
        <w:rPr>
          <w:b/>
        </w:rPr>
        <w:t>EthicHawks Forensic Governance Consultancy</w:t>
      </w:r>
      <w:r>
        <w:br/>
      </w:r>
      <w:r>
        <w:t>Cape Town, South Africa</w:t>
      </w:r>
      <w:r>
        <w:br/>
      </w:r>
      <w:r>
        <w:t>info@ethichawks.co.za</w:t>
      </w:r>
    </w:p>
    <w:p>
      <w:pPr>
        <w:spacing w:before="400"/>
      </w:pPr>
    </w:p>
    <w:p>
      <w:r>
        <w:t>12 April 2026</w:t>
      </w:r>
    </w:p>
    <w:p>
      <w:pPr>
        <w:spacing w:before="200"/>
      </w:pPr>
    </w:p>
    <w:p>
      <w:r>
        <w:rPr>
          <w:b/>
        </w:rPr>
        <w:t>TO: </w:t>
      </w:r>
      <w:r>
        <w:t>The Registrar / Case Officer</w:t>
      </w:r>
    </w:p>
    <w:p>
      <w:r>
        <w:t>Council for Medical Schemes (CMS)</w:t>
      </w:r>
    </w:p>
    <w:p>
      <w:r>
        <w:t>Block A, Eco Glades 2 Office Park</w:t>
      </w:r>
    </w:p>
    <w:p>
      <w:r>
        <w:t>420 Witch-Hazel Avenue, Eco Park, Centurion</w:t>
      </w:r>
    </w:p>
    <w:p>
      <w:pPr>
        <w:spacing w:before="200"/>
      </w:pPr>
    </w:p>
    <w:p>
      <w:r>
        <w:rPr>
          <w:b/>
        </w:rPr>
        <w:t>SUBJECT: </w:t>
      </w:r>
      <w:r>
        <w:rPr>
          <w:b/>
          <w:u w:val="single"/>
        </w:rPr>
        <w:t>URGENT SUPPLEMENTARY EVIDENCE - MATERIAL MISREPRESENTATION IN STATUTORY INTEGRATED REPORTING - ALLEGED BREACH OF JSE LISTING REQUIREMENTS, KING IV PRINCIPLES, AND COMPANIES ACT OBLIGATIONS</w:t>
      </w:r>
    </w:p>
    <w:p>
      <w:pPr>
        <w:spacing w:before="200"/>
      </w:pPr>
    </w:p>
    <w:p>
      <w:r>
        <w:t>Dear Registrar,</w:t>
      </w:r>
    </w:p>
    <w:p>
      <w:pPr>
        <w:spacing w:before="200"/>
      </w:pPr>
    </w:p>
    <w:p>
      <w:r>
        <w:t>I submit this urgent supplementary evidence to my complaint dated </w:t>
      </w:r>
      <w:r>
        <w:rPr>
          <w:b/>
        </w:rPr>
        <w:t>2 April 2026</w:t>
      </w:r>
      <w:r>
        <w:t> (Protected Disclosure to GEMS Board of Trustees), regarding material misrepresentation in the Integrated Annual Report of AfroCentric Health Group Limited, approved by its Board on </w:t>
      </w:r>
      <w:r>
        <w:rPr>
          <w:b/>
        </w:rPr>
        <w:t>31 March 2026</w:t>
      </w:r>
      <w:r>
        <w:t> and published on </w:t>
      </w:r>
      <w:r>
        <w:rPr>
          <w:b/>
        </w:rPr>
        <w:t>8 April 2026</w:t>
      </w:r>
      <w:r>
        <w:t> ("the Report").</w:t>
      </w:r>
    </w:p>
    <w:p>
      <w:pPr>
        <w:spacing w:before="200"/>
      </w:pPr>
    </w:p>
    <w:p>
      <w:pPr>
        <w:pStyle w:val="Heading1"/>
      </w:pPr>
      <w:r>
        <w:t>1. EXECUTIVE SUMMARY</w:t>
      </w:r>
    </w:p>
    <w:p>
      <w:r>
        <w:t>I respectfully draw the Council's attention to </w:t>
      </w:r>
      <w:r>
        <w:rPr>
          <w:b/>
        </w:rPr>
        <w:t>material omissions and misrepresentations</w:t>
      </w:r>
      <w:r>
        <w:t> in the Report that constitute breaches of:</w:t>
      </w:r>
    </w:p>
    <w:p>
      <w:pPr>
        <w:ind w:left="720" w:hanging="360"/>
      </w:pPr>
      <w:r>
        <w:t xml:space="preserve">•  </w:t>
      </w:r>
      <w:r>
        <w:t>JSE Listing Requirements (specifically Section 3.59(b) - material litigation disclosure);</w:t>
      </w:r>
    </w:p>
    <w:p>
      <w:pPr>
        <w:ind w:left="720" w:hanging="360"/>
      </w:pPr>
      <w:r>
        <w:t xml:space="preserve">•  </w:t>
      </w:r>
      <w:r>
        <w:t>King IV Report on Corporate Governance for South Africa (Principles 1, 2, 5, and 11);</w:t>
      </w:r>
    </w:p>
    <w:p>
      <w:pPr>
        <w:ind w:left="720" w:hanging="360"/>
      </w:pPr>
      <w:r>
        <w:t xml:space="preserve">•  </w:t>
      </w:r>
      <w:r>
        <w:t>Companies Act 71 of 2008 (Section 162 - director delinquency proceedings); and</w:t>
      </w:r>
    </w:p>
    <w:p>
      <w:pPr>
        <w:ind w:left="720" w:hanging="360"/>
      </w:pPr>
      <w:r>
        <w:t xml:space="preserve">•  </w:t>
      </w:r>
      <w:r>
        <w:t>Medical Schemes Act 131 of 1998 (Regulation 20 - 'fit and proper' administrator requirements).</w:t>
      </w:r>
    </w:p>
    <w:p>
      <w:pPr>
        <w:spacing w:before="200"/>
      </w:pPr>
    </w:p>
    <w:p>
      <w:pPr>
        <w:pStyle w:val="Heading1"/>
      </w:pPr>
      <w:r>
        <w:t>2. MATERIAL OMISSIONS IDENTIFIED</w:t>
      </w:r>
    </w:p>
    <w:p>
      <w:pPr>
        <w:pStyle w:val="Heading2"/>
      </w:pPr>
      <w:r>
        <w:t>2.1 Omission of Section 162 Director Delinquency Proceedings</w:t>
      </w:r>
    </w:p>
    <w:p>
      <w:r>
        <w:t>The Report, signed off on 31 March 2026, fails to disclose the </w:t>
      </w:r>
      <w:r>
        <w:rPr>
          <w:b/>
        </w:rPr>
        <w:t>Section 162 Director Delinquency proceedings</w:t>
      </w:r>
      <w:r>
        <w:t> filed in the Western Cape High Court on </w:t>
      </w:r>
      <w:r>
        <w:rPr>
          <w:b/>
        </w:rPr>
        <w:t>25 March 2026</w:t>
      </w:r>
      <w:r>
        <w:t> (Case No. </w:t>
      </w:r>
      <w:r>
        <w:rPr>
          <w:b/>
        </w:rPr>
        <w:t>2026-066952</w:t>
      </w:r>
      <w:r>
        <w:t> - </w:t>
      </w:r>
      <w:r>
        <w:rPr>
          <w:i/>
        </w:rPr>
        <w:t>Matthee v Fernandes &amp; Others</w:t>
      </w:r>
      <w:r>
        <w:t>).</w:t>
      </w:r>
    </w:p>
    <w:p>
      <w:r>
        <w:rPr>
          <w:b/>
        </w:rPr>
        <w:t>Regulatory Significance:</w:t>
      </w:r>
    </w:p>
    <w:p>
      <w:r>
        <w:t>Under </w:t>
      </w:r>
      <w:r>
        <w:rPr>
          <w:b/>
          <w:i/>
        </w:rPr>
        <w:t>JSE Listing Requirement 3.59(b)</w:t>
      </w:r>
      <w:r>
        <w:t>, listed entities must disclose "material litigation" involving directors. Section 162 proceedings directly challenge the fitness and propriety of directors to hold office - this is quintessentially material.</w:t>
      </w:r>
    </w:p>
    <w:p>
      <w:r>
        <w:t>Under </w:t>
      </w:r>
      <w:r>
        <w:rPr>
          <w:b/>
          <w:i/>
        </w:rPr>
        <w:t>King IV Principle 5</w:t>
      </w:r>
      <w:r>
        <w:t>, the Board must ensure that reports enable stakeholders to make an informed assessment of the organisation's performance. Omitting pending director delinquency proceedings renders the Report materially misleading.</w:t>
      </w:r>
    </w:p>
    <w:p>
      <w:r>
        <w:t>The proceedings were filed </w:t>
      </w:r>
      <w:r>
        <w:rPr>
          <w:b/>
        </w:rPr>
        <w:t>six days before Board approval</w:t>
      </w:r>
      <w:r>
        <w:t> of the Report. The Board cannot credibly claim ignorance of this material post-year-end event.</w:t>
      </w:r>
    </w:p>
    <w:p>
      <w:pPr>
        <w:pStyle w:val="Heading2"/>
      </w:pPr>
      <w:r>
        <w:t>2.2 Concealment of Priority 1 Clinical Risk (Gexus-DMS Integration Failure)</w:t>
      </w:r>
    </w:p>
    <w:p>
      <w:r>
        <w:t>While the Report highlights "Driving Clinical Innovation" and "Zero Tolerance for Unethical Conduct" (page 1), it </w:t>
      </w:r>
      <w:r>
        <w:rPr>
          <w:b/>
        </w:rPr>
        <w:t>systematically suppresses</w:t>
      </w:r>
      <w:r>
        <w:t> the Priority 1 Gexus-DMS integration failure that I formally reported on </w:t>
      </w:r>
      <w:r>
        <w:rPr>
          <w:b/>
        </w:rPr>
        <w:t>9 December 2025</w:t>
      </w:r>
      <w:r>
        <w:t> with 38 supporting attachments.</w:t>
      </w:r>
    </w:p>
    <w:p>
      <w:r>
        <w:rPr>
          <w:b/>
        </w:rPr>
        <w:t>The Material Risk:</w:t>
      </w:r>
    </w:p>
    <w:p>
      <w:r>
        <w:t>The structural integration failure between the Gexus claims processing system and the Disease Management System (DMS) generated </w:t>
      </w:r>
      <w:r>
        <w:rPr>
          <w:b/>
        </w:rPr>
        <w:t>clinically incorrect non-adherence communications to GEMS beneficiaries</w:t>
      </w:r>
      <w:r>
        <w:t>, including a confirmed case involving a 75-year-old dependent who received an erroneous communication despite being fully compliant with prescribed treatment.</w:t>
      </w:r>
    </w:p>
    <w:p>
      <w:r>
        <w:rPr>
          <w:b/>
        </w:rPr>
        <w:t>Regulatory Significance:</w:t>
      </w:r>
    </w:p>
    <w:p>
      <w:r>
        <w:t>Under </w:t>
      </w:r>
      <w:r>
        <w:rPr>
          <w:b/>
          <w:i/>
        </w:rPr>
        <w:t>King IV Principle 11</w:t>
      </w:r>
      <w:r>
        <w:t>, the Board must govern risk in a way that supports the organisation in achieving its strategic objectives. A Priority 1 clinical risk affecting member safety is unequivocally material and requires disclosure.</w:t>
      </w:r>
    </w:p>
    <w:p>
      <w:r>
        <w:t>Under </w:t>
      </w:r>
      <w:r>
        <w:rPr>
          <w:b/>
          <w:i/>
        </w:rPr>
        <w:t>Medical Schemes Act Section 59(1)(a)</w:t>
      </w:r>
      <w:r>
        <w:t>, administrators must "conduct its affairs with due regard to the interests of the medical schemes it administers." Concealing a clinical risk that affects member welfare breaches this statutory duty.</w:t>
      </w:r>
    </w:p>
    <w:p>
      <w:r>
        <w:t>The Chief Risk Officer (Monwabisi Kula) issued an email on </w:t>
      </w:r>
      <w:r>
        <w:rPr>
          <w:b/>
        </w:rPr>
        <w:t>18 December 2025</w:t>
      </w:r>
      <w:r>
        <w:t> that I characterise as </w:t>
      </w:r>
      <w:r>
        <w:rPr>
          <w:b/>
        </w:rPr>
        <w:t>active suppression</w:t>
      </w:r>
      <w:r>
        <w:t> of this Priority 1 Material Risk Report - evidence of wilful governance misconduct at operational level.</w:t>
      </w:r>
    </w:p>
    <w:p>
      <w:pPr>
        <w:pStyle w:val="Heading2"/>
      </w:pPr>
      <w:r>
        <w:t>2.3 Retaliation Against Protected Disclosure</w:t>
      </w:r>
    </w:p>
    <w:p>
      <w:r>
        <w:t>The Report claims (page 138) that "an anonymous whistle-blowing line is in place with proper and secure channels to follow" and (pages 135-136) that ethics training is part of a "revived ethical posture."</w:t>
      </w:r>
    </w:p>
    <w:p>
      <w:r>
        <w:t>These claims are </w:t>
      </w:r>
      <w:r>
        <w:rPr>
          <w:b/>
        </w:rPr>
        <w:t>materially misleading</w:t>
      </w:r>
      <w:r>
        <w:t> given the documented retaliation I experienced after making a protected disclosure on </w:t>
      </w:r>
      <w:r>
        <w:rPr>
          <w:b/>
        </w:rPr>
        <w:t>23 October 2025</w:t>
      </w:r>
      <w:r>
        <w:t>:</w:t>
      </w:r>
    </w:p>
    <w:p>
      <w:pPr>
        <w:ind w:left="720" w:hanging="360"/>
      </w:pPr>
      <w:r>
        <w:t xml:space="preserve">•  </w:t>
      </w:r>
      <w:r>
        <w:t>Labelled 'insubordinate' for declining to contact a vulnerable patient on clinically incorrect grounds;</w:t>
      </w:r>
    </w:p>
    <w:p>
      <w:pPr>
        <w:ind w:left="720" w:hanging="360"/>
      </w:pPr>
      <w:r>
        <w:t xml:space="preserve">•  </w:t>
      </w:r>
      <w:r>
        <w:t>Manager's recorded admission (31 October 2025): 'You made a case of harassment against me, so I can make a case of harassment against you';</w:t>
      </w:r>
    </w:p>
    <w:p>
      <w:pPr>
        <w:ind w:left="720" w:hanging="360"/>
      </w:pPr>
      <w:r>
        <w:t xml:space="preserve">•  </w:t>
      </w:r>
      <w:r>
        <w:t>Gender identity discrimination (the 'Wilma' incident, 23 September 2025);</w:t>
      </w:r>
    </w:p>
    <w:p>
      <w:pPr>
        <w:ind w:left="720" w:hanging="360"/>
      </w:pPr>
      <w:r>
        <w:t xml:space="preserve">•  </w:t>
      </w:r>
      <w:r>
        <w:t>Unlawful 40.47% salary deduction while on documented psychiatric leave (July 2025);</w:t>
      </w:r>
    </w:p>
    <w:p>
      <w:pPr>
        <w:ind w:left="720" w:hanging="360"/>
      </w:pPr>
      <w:r>
        <w:t xml:space="preserve">•  </w:t>
      </w:r>
      <w:r>
        <w:t>Forced resignation on 12 December 2025 due to intolerable working conditions.</w:t>
      </w:r>
    </w:p>
    <w:p>
      <w:r>
        <w:rPr>
          <w:b/>
        </w:rPr>
        <w:t>Regulatory Significance:</w:t>
      </w:r>
    </w:p>
    <w:p>
      <w:r>
        <w:t>Under </w:t>
      </w:r>
      <w:r>
        <w:rPr>
          <w:b/>
          <w:i/>
        </w:rPr>
        <w:t>King IV Principle 2</w:t>
      </w:r>
      <w:r>
        <w:t>, the Board must govern the ethics of the organisation in a way that supports the establishment of an ethical culture. Retaliation against whistleblowers, and the subsequent concealment thereof in statutory reports, constitutes a fundamental breach of this principle.</w:t>
      </w:r>
    </w:p>
    <w:p>
      <w:r>
        <w:t>Under </w:t>
      </w:r>
      <w:r>
        <w:rPr>
          <w:b/>
          <w:i/>
        </w:rPr>
        <w:t>Protected Disclosures Act 26 of 2000, Section 3</w:t>
      </w:r>
      <w:r>
        <w:t>, no employer may subject an employee to any occupational detriment on account of making a protected disclosure. The retaliation I suffered, and its omission from the Report, demonstrates systemic non-compliance.</w:t>
      </w:r>
    </w:p>
    <w:p>
      <w:pPr>
        <w:pStyle w:val="Heading2"/>
      </w:pPr>
      <w:r>
        <w:t>2.4 B-BBEE Fronting Investigation</w:t>
      </w:r>
    </w:p>
    <w:p>
      <w:r>
        <w:t>The Report claims (page 157) that AfroCentric "holds a level 1 B-BBEE contributor status" and is "the most transformed health-related business listed in South Africa."</w:t>
      </w:r>
    </w:p>
    <w:p>
      <w:r>
        <w:t>This claim is </w:t>
      </w:r>
      <w:r>
        <w:rPr>
          <w:b/>
        </w:rPr>
        <w:t>under active investigation</w:t>
      </w:r>
      <w:r>
        <w:t> by the B-BBEE Commission (Case No. </w:t>
      </w:r>
      <w:r>
        <w:rPr>
          <w:b/>
        </w:rPr>
        <w:t>5/02/2026</w:t>
      </w:r>
      <w:r>
        <w:t>). The investigation relates to allegations of B-BBEE fronting, including the suppression of my Specialist designation (recruited as 'Specialist: Care Manager' but contracted as 'Care Coordinator').</w:t>
      </w:r>
    </w:p>
    <w:p>
      <w:r>
        <w:rPr>
          <w:b/>
        </w:rPr>
        <w:t>Regulatory Significance:</w:t>
      </w:r>
    </w:p>
    <w:p>
      <w:r>
        <w:t>B-BBEE fronting is a criminal offence under the B-BBEE Act. The Level 1 status is a competitive advantage in public-sector procurement. Failure to disclose an active investigation into the integrity of this status is a material omission under JSE Listing Requirements.</w:t>
      </w:r>
    </w:p>
    <w:p>
      <w:pPr>
        <w:pStyle w:val="Heading1"/>
      </w:pPr>
      <w:r>
        <w:t>3. REGULATORY FRAMEWORK VIOLATIONS</w:t>
      </w:r>
    </w:p>
    <w:p>
      <w:r>
        <w:t>The following table summarises the specific regulatory breaches:</w:t>
      </w:r>
    </w:p>
    <w:tbl>
      <w:tblPr>
        <w:tblW w:w="5000" w:type="pct"/>
        <w:tblBorders>
          <w:top w:val="single" w:color="1a365d" w:sz="8"/>
          <w:left w:val="single" w:color="e2e8f0" w:sz="4"/>
          <w:bottom w:val="single" w:color="1a365d" w:sz="8"/>
          <w:right w:val="single" w:color="e2e8f0" w:sz="4"/>
          <w:insideH w:val="single" w:color="e2e8f0" w:sz="4"/>
          <w:insideV w:val="single" w:color="e2e8f0" w:sz="4"/>
        </w:tblBorders>
      </w:tblPr>
      <w:tblGrid>
        <w:gridCol w:w="2500"/>
        <w:gridCol w:w="3500"/>
        <w:gridCol w:w="4000"/>
      </w:tblGrid>
      <w:tr>
        <w:tc>
          <w:tcPr>
            <w:tcW w:w="2500" w:type="dxa"/>
            <w:shd w:val="clear" w:fill="edf2f7"/>
            <w:vAlign w:val="center"/>
          </w:tcPr>
          <w:p>
            <w:pPr>
              <w:spacing w:before="60" w:after="60"/>
            </w:pPr>
            <w:r>
              <w:rPr>
                <w:b/>
                <w:sz w:val="20"/>
              </w:rPr>
              <w:t>Regulatory Framework</w:t>
            </w:r>
          </w:p>
        </w:tc>
        <w:tc>
          <w:tcPr>
            <w:tcW w:w="3500" w:type="dxa"/>
            <w:shd w:val="clear" w:fill="edf2f7"/>
            <w:vAlign w:val="center"/>
          </w:tcPr>
          <w:p>
            <w:pPr>
              <w:spacing w:before="60" w:after="60"/>
            </w:pPr>
            <w:r>
              <w:rPr>
                <w:b/>
                <w:sz w:val="20"/>
              </w:rPr>
              <w:t>Specific Provision</w:t>
            </w:r>
          </w:p>
        </w:tc>
        <w:tc>
          <w:tcPr>
            <w:tcW w:w="4000" w:type="dxa"/>
            <w:shd w:val="clear" w:fill="edf2f7"/>
            <w:vAlign w:val="center"/>
          </w:tcPr>
          <w:p>
            <w:pPr>
              <w:spacing w:before="60" w:after="60"/>
            </w:pPr>
            <w:r>
              <w:rPr>
                <w:b/>
                <w:sz w:val="20"/>
              </w:rPr>
              <w:t>Nature of Breach</w:t>
            </w:r>
          </w:p>
        </w:tc>
      </w:tr>
      <w:tr>
        <w:tc>
          <w:tcPr>
            <w:tcW w:w="2500" w:type="dxa"/>
            <w:vAlign w:val="center"/>
          </w:tcPr>
          <w:p>
            <w:pPr>
              <w:spacing w:before="60" w:after="60"/>
            </w:pPr>
            <w:r>
              <w:rPr>
                <w:sz w:val="20"/>
              </w:rPr>
              <w:t>JSE Listing Requirements</w:t>
            </w:r>
          </w:p>
        </w:tc>
        <w:tc>
          <w:tcPr>
            <w:tcW w:w="3500" w:type="dxa"/>
            <w:vAlign w:val="center"/>
          </w:tcPr>
          <w:p>
            <w:pPr>
              <w:spacing w:before="60" w:after="60"/>
            </w:pPr>
            <w:r>
              <w:rPr>
                <w:sz w:val="20"/>
              </w:rPr>
              <w:t>Section 3.59(b) - Material Litigation</w:t>
            </w:r>
          </w:p>
        </w:tc>
        <w:tc>
          <w:tcPr>
            <w:tcW w:w="4000" w:type="dxa"/>
            <w:vAlign w:val="center"/>
          </w:tcPr>
          <w:p>
            <w:pPr>
              <w:spacing w:before="60" w:after="60"/>
            </w:pPr>
            <w:r>
              <w:rPr>
                <w:sz w:val="20"/>
              </w:rPr>
              <w:t>Failure to disclose Section 162 proceedings filed 25 March 2026</w:t>
            </w:r>
          </w:p>
        </w:tc>
      </w:tr>
      <w:tr>
        <w:tc>
          <w:tcPr>
            <w:tcW w:w="2500" w:type="dxa"/>
            <w:vAlign w:val="center"/>
          </w:tcPr>
          <w:p>
            <w:pPr>
              <w:spacing w:before="60" w:after="60"/>
            </w:pPr>
            <w:r>
              <w:rPr>
                <w:sz w:val="20"/>
              </w:rPr>
              <w:t>King IV Principle 5</w:t>
            </w:r>
          </w:p>
        </w:tc>
        <w:tc>
          <w:tcPr>
            <w:tcW w:w="3500" w:type="dxa"/>
            <w:vAlign w:val="center"/>
          </w:tcPr>
          <w:p>
            <w:pPr>
              <w:spacing w:before="60" w:after="60"/>
            </w:pPr>
            <w:r>
              <w:rPr>
                <w:sz w:val="20"/>
              </w:rPr>
              <w:t>Reports and Disclosures</w:t>
            </w:r>
          </w:p>
        </w:tc>
        <w:tc>
          <w:tcPr>
            <w:tcW w:w="4000" w:type="dxa"/>
            <w:vAlign w:val="center"/>
          </w:tcPr>
          <w:p>
            <w:pPr>
              <w:spacing w:before="60" w:after="60"/>
            </w:pPr>
            <w:r>
              <w:rPr>
                <w:sz w:val="20"/>
              </w:rPr>
              <w:t>Materially misleading report omitting clinical risks and legal proceedings</w:t>
            </w:r>
          </w:p>
        </w:tc>
      </w:tr>
      <w:tr>
        <w:tc>
          <w:tcPr>
            <w:tcW w:w="2500" w:type="dxa"/>
            <w:vAlign w:val="center"/>
          </w:tcPr>
          <w:p>
            <w:pPr>
              <w:spacing w:before="60" w:after="60"/>
            </w:pPr>
            <w:r>
              <w:rPr>
                <w:sz w:val="20"/>
              </w:rPr>
              <w:t>King IV Principle 11</w:t>
            </w:r>
          </w:p>
        </w:tc>
        <w:tc>
          <w:tcPr>
            <w:tcW w:w="3500" w:type="dxa"/>
            <w:vAlign w:val="center"/>
          </w:tcPr>
          <w:p>
            <w:pPr>
              <w:spacing w:before="60" w:after="60"/>
            </w:pPr>
            <w:r>
              <w:rPr>
                <w:sz w:val="20"/>
              </w:rPr>
              <w:t>Risk Governance</w:t>
            </w:r>
          </w:p>
        </w:tc>
        <w:tc>
          <w:tcPr>
            <w:tcW w:w="4000" w:type="dxa"/>
            <w:vAlign w:val="center"/>
          </w:tcPr>
          <w:p>
            <w:pPr>
              <w:spacing w:before="60" w:after="60"/>
            </w:pPr>
            <w:r>
              <w:rPr>
                <w:sz w:val="20"/>
              </w:rPr>
              <w:t>Failure to disclose Priority 1 clinical risk affecting member safety</w:t>
            </w:r>
          </w:p>
        </w:tc>
      </w:tr>
      <w:tr>
        <w:tc>
          <w:tcPr>
            <w:tcW w:w="2500" w:type="dxa"/>
            <w:vAlign w:val="center"/>
          </w:tcPr>
          <w:p>
            <w:pPr>
              <w:spacing w:before="60" w:after="60"/>
            </w:pPr>
            <w:r>
              <w:rPr>
                <w:sz w:val="20"/>
              </w:rPr>
              <w:t>King IV Principle 2</w:t>
            </w:r>
          </w:p>
        </w:tc>
        <w:tc>
          <w:tcPr>
            <w:tcW w:w="3500" w:type="dxa"/>
            <w:vAlign w:val="center"/>
          </w:tcPr>
          <w:p>
            <w:pPr>
              <w:spacing w:before="60" w:after="60"/>
            </w:pPr>
            <w:r>
              <w:rPr>
                <w:sz w:val="20"/>
              </w:rPr>
              <w:t>Ethical Culture</w:t>
            </w:r>
          </w:p>
        </w:tc>
        <w:tc>
          <w:tcPr>
            <w:tcW w:w="4000" w:type="dxa"/>
            <w:vAlign w:val="center"/>
          </w:tcPr>
          <w:p>
            <w:pPr>
              <w:spacing w:before="60" w:after="60"/>
            </w:pPr>
            <w:r>
              <w:rPr>
                <w:sz w:val="20"/>
              </w:rPr>
              <w:t>Concealment of whistleblower retaliation</w:t>
            </w:r>
          </w:p>
        </w:tc>
      </w:tr>
      <w:tr>
        <w:tc>
          <w:tcPr>
            <w:tcW w:w="2500" w:type="dxa"/>
            <w:vAlign w:val="center"/>
          </w:tcPr>
          <w:p>
            <w:pPr>
              <w:spacing w:before="60" w:after="60"/>
            </w:pPr>
            <w:r>
              <w:rPr>
                <w:sz w:val="20"/>
              </w:rPr>
              <w:t>Companies Act 71/2008</w:t>
            </w:r>
          </w:p>
        </w:tc>
        <w:tc>
          <w:tcPr>
            <w:tcW w:w="3500" w:type="dxa"/>
            <w:vAlign w:val="center"/>
          </w:tcPr>
          <w:p>
            <w:pPr>
              <w:spacing w:before="60" w:after="60"/>
            </w:pPr>
            <w:r>
              <w:rPr>
                <w:sz w:val="20"/>
              </w:rPr>
              <w:t>Section 162 - Director Delinquency</w:t>
            </w:r>
          </w:p>
        </w:tc>
        <w:tc>
          <w:tcPr>
            <w:tcW w:w="4000" w:type="dxa"/>
            <w:vAlign w:val="center"/>
          </w:tcPr>
          <w:p>
            <w:pPr>
              <w:spacing w:before="60" w:after="60"/>
            </w:pPr>
            <w:r>
              <w:rPr>
                <w:sz w:val="20"/>
              </w:rPr>
              <w:t>Directors approved report while subject to delinquency proceedings</w:t>
            </w:r>
          </w:p>
        </w:tc>
      </w:tr>
      <w:tr>
        <w:tc>
          <w:tcPr>
            <w:tcW w:w="2500" w:type="dxa"/>
            <w:vAlign w:val="center"/>
          </w:tcPr>
          <w:p>
            <w:pPr>
              <w:spacing w:before="60" w:after="60"/>
            </w:pPr>
            <w:r>
              <w:rPr>
                <w:sz w:val="20"/>
              </w:rPr>
              <w:t>Medical Schemes Act</w:t>
            </w:r>
          </w:p>
        </w:tc>
        <w:tc>
          <w:tcPr>
            <w:tcW w:w="3500" w:type="dxa"/>
            <w:vAlign w:val="center"/>
          </w:tcPr>
          <w:p>
            <w:pPr>
              <w:spacing w:before="60" w:after="60"/>
            </w:pPr>
            <w:r>
              <w:rPr>
                <w:sz w:val="20"/>
              </w:rPr>
              <w:t>Regulation 20 - Fit and Proper</w:t>
            </w:r>
          </w:p>
        </w:tc>
        <w:tc>
          <w:tcPr>
            <w:tcW w:w="4000" w:type="dxa"/>
            <w:vAlign w:val="center"/>
          </w:tcPr>
          <w:p>
            <w:pPr>
              <w:spacing w:before="60" w:after="60"/>
            </w:pPr>
            <w:r>
              <w:rPr>
                <w:sz w:val="20"/>
              </w:rPr>
              <w:t>Administrator concealed material risks from public disclosures</w:t>
            </w:r>
          </w:p>
        </w:tc>
      </w:tr>
    </w:tbl>
    <w:p/>
    <w:p>
      <w:pPr>
        <w:pStyle w:val="Heading1"/>
      </w:pPr>
      <w:r>
        <w:t>4. REQUESTED ACTIONS</w:t>
      </w:r>
    </w:p>
    <w:p>
      <w:r>
        <w:t>I respectfully request that the Council for Medical Schemes:</w:t>
      </w:r>
    </w:p>
    <w:p>
      <w:pPr>
        <w:ind w:left="720" w:hanging="360"/>
      </w:pPr>
      <w:r>
        <w:t xml:space="preserve">1. </w:t>
      </w:r>
      <w:r>
        <w:t>Review the Integrated Annual Report (AfroCentric Health Group, 8 April 2026) in light of the material omissions and misrepresentations identified herein;</w:t>
      </w:r>
    </w:p>
    <w:p>
      <w:pPr>
        <w:ind w:left="720" w:hanging="360"/>
      </w:pPr>
      <w:r>
        <w:t xml:space="preserve">2. </w:t>
      </w:r>
      <w:r>
        <w:t>Consider whether these omissions constitute a breach of the 'fit and proper' requirements under Regulation 20 of the Regulations Relating to the Application for and Continuing Approval of Administrators;</w:t>
      </w:r>
    </w:p>
    <w:p>
      <w:pPr>
        <w:ind w:left="720" w:hanging="360"/>
      </w:pPr>
      <w:r>
        <w:t xml:space="preserve">3. </w:t>
      </w:r>
      <w:r>
        <w:t>Advise whether the CMS intends to exercise its powers under Section 59(2) of the Medical Schemes Act to investigate these matters prior to the administrator's 30 April 2026 statutory filing deadline;</w:t>
      </w:r>
    </w:p>
    <w:p>
      <w:pPr>
        <w:ind w:left="720" w:hanging="360"/>
      </w:pPr>
      <w:r>
        <w:t xml:space="preserve">4. </w:t>
      </w:r>
      <w:r>
        <w:t>Request that GEMS's Principal Officer provide written confirmation whether the Priority 1 Gexus-DMS integration failure was disclosed to the GEMS Board of Trustees;</w:t>
      </w:r>
    </w:p>
    <w:p>
      <w:pPr>
        <w:ind w:left="720" w:hanging="360"/>
      </w:pPr>
      <w:r>
        <w:t xml:space="preserve">5. </w:t>
      </w:r>
      <w:r>
        <w:t>Consider whether the approval of a materially misleading Integrated Report by directors who are subject to pending delinquency proceedings calls into question the 'fit and proper' status of the administrator under CMS regulatory framework.</w:t>
      </w:r>
    </w:p>
    <w:p>
      <w:pPr>
        <w:pStyle w:val="Heading1"/>
      </w:pPr>
      <w:r>
        <w:t>5. PARALLEL REGULATORY PROCEEDINGS</w:t>
      </w:r>
    </w:p>
    <w:p>
      <w:r>
        <w:t>I advise the Council that I have filed, or am preparing, parallel complaints with:</w:t>
      </w:r>
    </w:p>
    <w:p>
      <w:pPr>
        <w:ind w:left="720" w:hanging="360"/>
      </w:pPr>
      <w:r>
        <w:t xml:space="preserve">•  </w:t>
      </w:r>
      <w:r>
        <w:t>JSE Issuer Regulation Division - SENS disclosure failures;</w:t>
      </w:r>
    </w:p>
    <w:p>
      <w:pPr>
        <w:ind w:left="720" w:hanging="360"/>
      </w:pPr>
      <w:r>
        <w:t xml:space="preserve">•  </w:t>
      </w:r>
      <w:r>
        <w:t>Companies and Intellectual Property Commission (CIPC) - Section 214 fraudulent conduct;</w:t>
      </w:r>
    </w:p>
    <w:p>
      <w:pPr>
        <w:ind w:left="720" w:hanging="360"/>
      </w:pPr>
      <w:r>
        <w:t xml:space="preserve">•  </w:t>
      </w:r>
      <w:r>
        <w:t>Prudential Authority - 'fit and proper' requirements for financial services licensees;</w:t>
      </w:r>
    </w:p>
    <w:p>
      <w:pPr>
        <w:ind w:left="720" w:hanging="360"/>
      </w:pPr>
      <w:r>
        <w:t xml:space="preserve">•  </w:t>
      </w:r>
      <w:r>
        <w:t>Independent Regulatory Board for Auditors (IRBA) - KPMG audit of materially misleading financial statements;</w:t>
      </w:r>
    </w:p>
    <w:p>
      <w:pPr>
        <w:ind w:left="720" w:hanging="360"/>
      </w:pPr>
      <w:r>
        <w:t xml:space="preserve">•  </w:t>
      </w:r>
      <w:r>
        <w:t>Parliamentary Portfolio Committee on Health - public funds and GEMS contract oversight.</w:t>
      </w:r>
    </w:p>
    <w:p>
      <w:pPr>
        <w:pStyle w:val="Heading1"/>
      </w:pPr>
      <w:r>
        <w:t>6. ENCLOSURES</w:t>
      </w:r>
    </w:p>
    <w:p>
      <w:r>
        <w:t>The following documents are available upon request to substantiate the allegations herein:</w:t>
      </w:r>
    </w:p>
    <w:p>
      <w:pPr>
        <w:ind w:left="720" w:hanging="360"/>
      </w:pPr>
      <w:r>
        <w:t xml:space="preserve">•  </w:t>
      </w:r>
      <w:r>
        <w:t>Protected Disclosure dated 2 April 2026 (to GEMS Board of Trustees);</w:t>
      </w:r>
    </w:p>
    <w:p>
      <w:pPr>
        <w:ind w:left="720" w:hanging="360"/>
      </w:pPr>
      <w:r>
        <w:t xml:space="preserve">•  </w:t>
      </w:r>
      <w:r>
        <w:t>Supporting Testimony dated 2 April 2026;</w:t>
      </w:r>
    </w:p>
    <w:p>
      <w:pPr>
        <w:ind w:left="720" w:hanging="360"/>
      </w:pPr>
      <w:r>
        <w:t xml:space="preserve">•  </w:t>
      </w:r>
      <w:r>
        <w:t>Statement of Claim - Labour Court of South Africa (Case No. 2026-077546);</w:t>
      </w:r>
    </w:p>
    <w:p>
      <w:pPr>
        <w:ind w:left="720" w:hanging="360"/>
      </w:pPr>
      <w:r>
        <w:t xml:space="preserve">•  </w:t>
      </w:r>
      <w:r>
        <w:t>Western Cape High Court Section 162 Application (Case No. 2026-066952);</w:t>
      </w:r>
    </w:p>
    <w:p>
      <w:pPr>
        <w:ind w:left="720" w:hanging="360"/>
      </w:pPr>
      <w:r>
        <w:t xml:space="preserve">•  </w:t>
      </w:r>
      <w:r>
        <w:t>B-BBEE Commission Case File (Case No. 5/02/2026);</w:t>
      </w:r>
    </w:p>
    <w:p>
      <w:pPr>
        <w:ind w:left="720" w:hanging="360"/>
      </w:pPr>
      <w:r>
        <w:t xml:space="preserve">•  </w:t>
      </w:r>
      <w:r>
        <w:t>CMS Referral - 'Administrative Misconduct and Ethical Failure';</w:t>
      </w:r>
    </w:p>
    <w:p>
      <w:pPr>
        <w:ind w:left="720" w:hanging="360"/>
      </w:pPr>
      <w:r>
        <w:t xml:space="preserve">•  </w:t>
      </w:r>
      <w:r>
        <w:t>SAHRC Acknowledgment and Referrals;</w:t>
      </w:r>
    </w:p>
    <w:p>
      <w:pPr>
        <w:ind w:left="720" w:hanging="360"/>
      </w:pPr>
      <w:r>
        <w:t xml:space="preserve">•  </w:t>
      </w:r>
      <w:r>
        <w:t>SAPS Criminal Case (CAS 705/3/2026);</w:t>
      </w:r>
    </w:p>
    <w:p>
      <w:pPr>
        <w:ind w:left="720" w:hanging="360"/>
      </w:pPr>
      <w:r>
        <w:t xml:space="preserve">•  </w:t>
      </w:r>
      <w:r>
        <w:t>Extracts from AfroCentric Integrated Annual Report (December 2025) with annotations.</w:t>
      </w:r>
    </w:p>
    <w:p>
      <w:pPr>
        <w:spacing w:before="400"/>
      </w:pPr>
    </w:p>
    <w:p>
      <w:r>
        <w:t>This submission is made in good faith under the protections of the Protected Disclosures Act 26 of 2000.</w:t>
      </w:r>
    </w:p>
    <w:p>
      <w:pPr>
        <w:spacing w:before="200"/>
      </w:pPr>
    </w:p>
    <w:p>
      <w:r>
        <w:t>I expect a substantive response within 14 calendar days.</w:t>
      </w:r>
    </w:p>
    <w:p>
      <w:pPr>
        <w:spacing w:before="400"/>
      </w:pPr>
    </w:p>
    <w:p>
      <w:r>
        <w:t>Yours faithfully,</w:t>
      </w:r>
    </w:p>
    <w:p>
      <w:pPr>
        <w:spacing w:before="200"/>
      </w:pPr>
    </w:p>
    <w:p>
      <w:r>
        <w:rPr>
          <w:b/>
        </w:rPr>
        <w:t>Wilbur William Matthee</w:t>
      </w:r>
    </w:p>
    <w:p>
      <w:r>
        <w:t>Registered Nurse Specialist | Forensic Governance Practitioner</w:t>
      </w:r>
    </w:p>
    <w:p>
      <w:r>
        <w:t>Founder, EthicHawks Forensic Governance Consultancy</w:t>
      </w:r>
    </w:p>
    <w:p>
      <w:r>
        <w:t>info@ethichawks.co.za</w:t>
      </w:r>
    </w:p>
    <w:p>
      <w:r>
        <w:t>069 635 1435 / 063 378 8782</w:t>
      </w:r>
    </w:p>
    <w:p>
      <w:r>
        <w:t>12 April 2026</w:t>
      </w:r>
    </w:p>
    <w:sectPr>
      <w:headerReference w:type="default" r:id="Reda914e059c14eb2"/>
      <w:footerReference w:type="default" r:id="R486fba04a2bf48ea"/>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4a5568"/>
        <w:sz w:val="20"/>
      </w:rPr>
      <w:t xml:space="preserve">Page </w:t>
    </w:r>
    <w:r>
      <w:fldChar w:fldCharType="begin"/>
    </w:r>
    <w:r>
      <w:instrText> PAGE </w:instrText>
    </w:r>
    <w:r>
      <w:fldChar w:fldCharType="separate"/>
    </w:r>
    <w:r>
      <w:t>1</w:t>
    </w:r>
    <w:r>
      <w:fldChar w:fldCharType="end"/>
    </w:r>
    <w:r>
      <w:rPr>
        <w:color w:val="4a5568"/>
        <w:sz w:val="20"/>
      </w:rPr>
      <w:t xml:space="preserve"> of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pBdr>
        <w:bottom w:val="single" w:color="1a365d" w:sz="6"/>
      </w:pBdr>
      <w:jc w:val="center"/>
    </w:pPr>
    <w:r>
      <w:rPr>
        <w:b/>
        <w:color w:val="1a365d"/>
        <w:sz w:val="20"/>
      </w:rPr>
      <w:t>CONFIDENTIAL - PROTECTED DISCLOSURE</w:t>
    </w:r>
  </w:p>
</w:hdr>
</file>

<file path=word/styles.xml><?xml version="1.0" encoding="utf-8"?>
<w:styles xmlns:w="http://schemas.openxmlformats.org/wordprocessingml/2006/main">
  <w:style w:type="paragraph" w:styleId="Normal" w:default="true">
    <w:name w:val="Normal"/>
    <w:pPr>
      <w:spacing w:after="200" w:line="276" w:lineRule="auto"/>
    </w:pPr>
    <w:rPr>
      <w:rFonts w:ascii="Times New Roman" w:hAnsi="Times New Roman"/>
      <w:color w:val="1a202c"/>
      <w:sz w:val="24"/>
    </w:rPr>
  </w:style>
  <w:style w:type="paragraph" w:styleId="Heading1">
    <w:name w:val="heading 1"/>
    <w:basedOn w:val="Normal"/>
    <w:pPr>
      <w:keepNext/>
      <w:spacing w:before="400" w:after="200"/>
      <w:outlineLvl w:val="0"/>
    </w:pPr>
    <w:rPr>
      <w:b/>
      <w:color w:val="1a365d"/>
      <w:sz w:val="28"/>
    </w:rPr>
  </w:style>
  <w:style w:type="paragraph" w:styleId="Heading2">
    <w:name w:val="heading 2"/>
    <w:basedOn w:val="Normal"/>
    <w:pPr>
      <w:keepNext/>
      <w:spacing w:before="300" w:after="120"/>
      <w:outlineLvl w:val="1"/>
    </w:pPr>
    <w:rPr>
      <w:b/>
      <w:color w:val="1a365d"/>
      <w:sz w:val="24"/>
    </w:rPr>
  </w:style>
</w:styles>
</file>

<file path=word/_rels/document.xml.rels>&#65279;<?xml version="1.0" encoding="utf-8"?><Relationships xmlns="http://schemas.openxmlformats.org/package/2006/relationships"><Relationship Type="http://schemas.openxmlformats.org/officeDocument/2006/relationships/styles" Target="/word/styles.xml" Id="R5d16b3e9b2c044a5" /><Relationship Type="http://schemas.openxmlformats.org/officeDocument/2006/relationships/header" Target="/word/header1.xml" Id="Reda914e059c14eb2" /><Relationship Type="http://schemas.openxmlformats.org/officeDocument/2006/relationships/footer" Target="/word/footer1.xml" Id="R486fba04a2bf48ea" /></Relationships>
</file>