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c4af0e726e784978"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ackground"/>
            <wp:cNvGraphicFramePr>
              <a:graphicFrameLocks noChangeAspect="1"/>
            </wp:cNvGraphicFramePr>
            <a:graphic>
              <a:graphicData uri="http://schemas.openxmlformats.org/drawingml/2006/picture">
                <pic:pic>
                  <pic:nvPicPr>
                    <pic:cNvPr id="0" name="CoverBackground.png"/>
                    <pic:cNvPicPr/>
                  </pic:nvPicPr>
                  <pic:blipFill>
                    <a:blip r:embed="Rcde88f62c6d142b2"/>
                    <a:stretch>
                      <a:fillRect/>
                    </a:stretch>
                  </pic:blipFill>
                  <pic:spPr>
                    <a:xfrm>
                      <a:off x="0" y="0"/>
                      <a:ext cx="7560000" cy="10692000"/>
                    </a:xfrm>
                    <a:prstGeom prst="rect"/>
                  </pic:spPr>
                </pic:pic>
              </a:graphicData>
            </a:graphic>
          </wp:anchor>
        </w:drawing>
      </w:r>
    </w:p>
    <w:p>
      <w:pPr>
        <w:spacing w:before="800"/>
      </w:pPr>
      <w:r/>
    </w:p>
    <w:p>
      <w:pPr>
        <w:spacing w:after="200"/>
        <w:jc w:val="center"/>
      </w:pPr>
      <w:r>
        <w:rPr>
          <w:b/>
          <w:color w:val="FFFFFF"/>
          <w:sz w:val="72"/>
        </w:rPr>
        <w:t>ETHICHAWKS</w:t>
      </w:r>
    </w:p>
    <w:p>
      <w:pPr>
        <w:spacing w:after="600"/>
        <w:jc w:val="center"/>
      </w:pPr>
      <w:r>
        <w:rPr>
          <w:color w:val="b8860b"/>
          <w:spacing w:val="60"/>
          <w:sz w:val="28"/>
        </w:rPr>
        <w:t>FORENSIC &amp; COMPLIANCE SPECIALISTS</w:t>
      </w:r>
    </w:p>
    <w:p>
      <w:pPr>
        <w:spacing w:before="3600"/>
      </w:pPr>
      <w:r/>
    </w:p>
    <w:p>
      <w:pPr>
        <w:spacing w:after="200"/>
        <w:ind w:left="1200" w:right="1200"/>
        <w:jc w:val="left"/>
      </w:pPr>
      <w:r>
        <w:rPr>
          <w:b/>
          <w:color w:val="1a365d"/>
          <w:sz w:val="56"/>
        </w:rPr>
        <w:t>FORENSIC GOVERNANCE</w:t>
      </w:r>
    </w:p>
    <w:p>
      <w:pPr>
        <w:spacing w:after="400"/>
        <w:ind w:left="1200" w:right="1200"/>
        <w:jc w:val="left"/>
      </w:pPr>
      <w:r>
        <w:rPr>
          <w:b/>
          <w:color w:val="1a365d"/>
          <w:sz w:val="56"/>
        </w:rPr>
        <w:t>COMPLIANCE REPORT</w:t>
      </w:r>
    </w:p>
    <w:p>
      <w:pPr>
        <w:spacing w:after="600"/>
        <w:ind w:left="1200" w:right="1200"/>
        <w:jc w:val="left"/>
      </w:pPr>
      <w:r>
        <w:rPr>
          <w:i/>
          <w:color w:val="722f37"/>
          <w:sz w:val="28"/>
        </w:rPr>
        <w:t>B-BBEE Fronting Practice Investigation</w:t>
      </w:r>
    </w:p>
    <w:p>
      <w:pPr>
        <w:spacing w:after="200"/>
        <w:ind w:left="1200" w:right="1200"/>
        <w:jc w:val="left"/>
      </w:pPr>
      <w:r>
        <w:rPr>
          <w:color w:val="475569"/>
          <w:sz w:val="24"/>
        </w:rPr>
        <w:t>Respondent: Medscheme Holdings (Pty) Ltd</w:t>
      </w:r>
    </w:p>
    <w:p>
      <w:pPr>
        <w:spacing w:after="2400"/>
        <w:ind w:left="1200" w:right="1200"/>
        <w:jc w:val="left"/>
      </w:pPr>
      <w:r>
        <w:rPr>
          <w:color w:val="475569"/>
          <w:sz w:val="24"/>
        </w:rPr>
        <w:t>Reference: B-BBEE Commission Complaint Form B-BBEE 7</w:t>
      </w:r>
    </w:p>
    <w:p>
      <w:pPr>
        <w:spacing w:after="120"/>
        <w:ind w:left="1200"/>
        <w:jc w:val="left"/>
      </w:pPr>
      <w:r>
        <w:rPr>
          <w:color w:val="94a3b8"/>
          <w:sz w:val="22"/>
        </w:rPr>
        <w:t>Date: April 2026</w:t>
      </w:r>
    </w:p>
    <w:p>
      <w:pPr>
        <w:ind w:left="1200"/>
        <w:jc w:val="left"/>
      </w:pPr>
      <w:r>
        <w:rPr>
          <w:b/>
          <w:color w:val="b8860b"/>
          <w:sz w:val="22"/>
        </w:rPr>
        <w:t>CONFIDENTIAL - LEGAL PRIVILEGE</w:t>
      </w:r>
    </w:p>
    <w:p>
      <w:pPr>
        <w:sectPr>
          <w:type w:val="nextPage"/>
          <w:pgSz w:w="11906" w:h="16838"/>
          <w:pgMar w:top="0" w:right="0" w:bottom="0" w:left="0" w:header="0" w:footer="0"/>
        </w:sectPr>
      </w:pPr>
    </w:p>
    <w:p>
      <w:pPr>
        <w:pStyle w:val="Heading1"/>
      </w:pPr>
      <w:bookmarkStart w:name="_Toc000" w:id="0"/>
      <w:r>
        <w:t>Table of Contents</w:t>
      </w:r>
      <w:bookmarkEnd w:id="0"/>
    </w:p>
    <w:p>
      <w:pPr>
        <w:spacing w:after="300"/>
      </w:pPr>
      <w:r>
        <w:rPr>
          <w:color w:val="94a3b8"/>
          <w:sz w:val="20"/>
        </w:rPr>
        <w:t>(Right-click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Part 1: Forensic Governance Compliance Failure Analysis</w:t>
      </w:r>
      <w:r>
        <w:tab/>
      </w:r>
      <w:r>
        <w:t>4</w:t>
      </w:r>
    </w:p>
    <w:p>
      <w:pPr>
        <w:pStyle w:val="TOC2"/>
      </w:pPr>
      <w:r>
        <w:t>Legal Definition of Fronting</w:t>
      </w:r>
      <w:r>
        <w:tab/>
      </w:r>
      <w:r>
        <w:t>4</w:t>
      </w:r>
    </w:p>
    <w:p>
      <w:pPr>
        <w:pStyle w:val="TOC2"/>
      </w:pPr>
      <w:r>
        <w:t>Element-by-Element Forensic Analysis</w:t>
      </w:r>
      <w:r>
        <w:tab/>
      </w:r>
      <w:r>
        <w:t>5</w:t>
      </w:r>
    </w:p>
    <w:p>
      <w:pPr>
        <w:pStyle w:val="TOC2"/>
      </w:pPr>
      <w:r>
        <w:t>Governance Failure: Title Suppression</w:t>
      </w:r>
      <w:r>
        <w:tab/>
      </w:r>
      <w:r>
        <w:t>6</w:t>
      </w:r>
    </w:p>
    <w:p>
      <w:pPr>
        <w:pStyle w:val="TOC1"/>
      </w:pPr>
      <w:r>
        <w:t>Part 2: Psychosocial Risk Assessment</w:t>
      </w:r>
      <w:r>
        <w:tab/>
      </w:r>
      <w:r>
        <w:t>8</w:t>
      </w:r>
    </w:p>
    <w:p>
      <w:pPr>
        <w:pStyle w:val="TOC1"/>
      </w:pPr>
      <w:r>
        <w:t>Part 3: B-BBEE Commission Assessment Review</w:t>
      </w:r>
      <w:r>
        <w:tab/>
      </w:r>
      <w:r>
        <w:t>10</w:t>
      </w:r>
    </w:p>
    <w:p>
      <w:pPr>
        <w:pStyle w:val="TOC1"/>
      </w:pPr>
      <w:r>
        <w:t>Part 4: Regulatory Failure &amp; Buck-Passing Analysis</w:t>
      </w:r>
      <w:r>
        <w:tab/>
      </w:r>
      <w:r>
        <w:t>12</w:t>
      </w:r>
    </w:p>
    <w:p>
      <w:pPr>
        <w:pStyle w:val="TOC1"/>
      </w:pPr>
      <w:r>
        <w:t>Part 5: Final Forensic Summary &amp; Recommendations</w:t>
      </w:r>
      <w:r>
        <w:tab/>
      </w:r>
      <w:r>
        <w:t>16</w:t>
      </w:r>
    </w:p>
    <w:p>
      <w:r>
        <w:fldChar w:fldCharType="end"/>
      </w:r>
    </w:p>
    <w:p>
      <w:pPr>
        <w:sectPr>
          <w:type w:val="nextPage"/>
          <w:pgSz w:w="11906" w:h="16838"/>
          <w:pgMar w:top="1800" w:right="1440" w:bottom="1440" w:left="1440" w:header="720" w:footer="720"/>
        </w:sectPr>
      </w:pPr>
    </w:p>
    <w:p>
      <w:pPr>
        <w:pStyle w:val="Heading1"/>
      </w:pPr>
      <w:bookmarkStart w:name="_Toc001" w:id="001"/>
      <w:r>
        <w:t>Executive Summary</w:t>
      </w:r>
      <w:bookmarkEnd w:id="001"/>
    </w:p>
    <w:p>
      <w:r>
        <w:t>This forensic report presents a comprehensive analysis of prima facie evidence supporting allegations of B-BBEE fronting practices by Medscheme Holdings (Pty) Ltd. The investigation examines documentary evidence, governance failures, and regulatory non-compliance in terms of the Broad-Based Black Economic Empowerment Act 53 of 2003 (as amended), the B-BBEE Codes of Good Practice, and related labour legislation.</w:t>
      </w:r>
    </w:p>
    <w:p>
      <w:r>
        <w:t>The evidence demonstrates a pattern of conduct consistent with Section 1(c) of the B-BBEE Act's definition of fronting practice: the conclusion of a legal relationship with a black person for the purpose of achieving B-BBEE compliance without granting that person the economic benefits reasonably associated with their status or position.</w:t>
      </w:r>
    </w:p>
    <w:p>
      <w:r>
        <w:rPr>
          <w:b/>
        </w:rPr>
        <w:t>Key Findings:</w:t>
      </w:r>
    </w:p>
    <w:p>
      <w:pPr>
        <w:numPr>
          <w:ilvl w:val="0"/>
          <w:numId w:val="1"/>
        </w:numPr>
      </w:pPr>
      <w:r>
        <w:t>Prima facie fronting established under Section 1(c) of the B-BBEE Act 53 of 2003</w:t>
      </w:r>
    </w:p>
    <w:p>
      <w:pPr>
        <w:numPr>
          <w:ilvl w:val="0"/>
          <w:numId w:val="1"/>
        </w:numPr>
      </w:pPr>
      <w:r>
        <w:t>Deliberate title suppression as a fronting mechanism</w:t>
      </w:r>
    </w:p>
    <w:p>
      <w:pPr>
        <w:numPr>
          <w:ilvl w:val="0"/>
          <w:numId w:val="1"/>
        </w:numPr>
      </w:pPr>
      <w:r>
        <w:t>Misrepresentation of B-BBEE status in official documentation</w:t>
      </w:r>
    </w:p>
    <w:p>
      <w:pPr>
        <w:numPr>
          <w:ilvl w:val="0"/>
          <w:numId w:val="1"/>
        </w:numPr>
      </w:pPr>
      <w:r>
        <w:t>Withholding of evidence and spoliation concerns</w:t>
      </w:r>
    </w:p>
    <w:p>
      <w:pPr>
        <w:numPr>
          <w:ilvl w:val="0"/>
          <w:numId w:val="1"/>
        </w:numPr>
      </w:pPr>
      <w:r>
        <w:t>B-BBEE Commission's failure to exercise statutory powers under Section 13K</w:t>
      </w:r>
    </w:p>
    <w:p>
      <w:pPr>
        <w:numPr>
          <w:ilvl w:val="0"/>
          <w:numId w:val="1"/>
        </w:numPr>
      </w:pPr>
      <w:r>
        <w:t>Systemic regulatory buck-passing creating access to justice failures</w:t>
      </w:r>
    </w:p>
    <w:p>
      <w:r>
        <w:br w:type="page"/>
      </w:r>
    </w:p>
    <w:p>
      <w:pPr>
        <w:pStyle w:val="Heading1"/>
      </w:pPr>
      <w:bookmarkStart w:name="_Toc002" w:id="002"/>
      <w:r>
        <w:t>Part 1: Forensic Governance Compliance Failure Analysis</w:t>
      </w:r>
      <w:bookmarkEnd w:id="002"/>
    </w:p>
    <w:p>
      <w:pPr>
        <w:pStyle w:val="Heading2"/>
      </w:pPr>
      <w:r>
        <w:t>A. The Legal Definition of Fronting (Section 1 of the B-BBEE Act)</w:t>
      </w:r>
    </w:p>
    <w:p>
      <w:r>
        <w:t>The Broad-Based Black Economic Empowerment Act 53 of 2003 (as amended by Act 46 of 2013) defines fronting practice in Section 1 as including conduct where:</w:t>
      </w:r>
    </w:p>
    <w:p>
      <w:pPr>
        <w:ind w:left="720"/>
      </w:pPr>
      <w:r>
        <w:rPr>
          <w:i/>
        </w:rPr>
        <w:t>"(c) involving the conclusion of a legal relationship with a black person for the purpose of that enterprise achieving a certain level of B-BBEE compliance without granting that black person the economic benefits that would reasonably be expected to be associated with the status or position held by that black person."</w:t>
      </w:r>
    </w:p>
    <w:p>
      <w:r>
        <w:t>This definition is further elaborated in the B-BBEE Codes of Good Practice (Gazette No. 36928, 11 October 2013), which provide specific indicators of fronting practices. The Codes emphasise that fronting involves misrepresentation of B-BBEE status and the creation of legal structures that do not reflect genuine economic participation by black people.</w:t>
      </w:r>
    </w:p>
    <w:p>
      <w:r>
        <w:t>Section 13J of the B-BBEE Act criminalises fronting practices, providing for penalties including fines and imprisonment. Section 13J(5) specifically prohibits the submission of false information regarding B-BBEE status to any verification agency or the B-BBEE Commission.</w:t>
      </w:r>
    </w:p>
    <w:p>
      <w:pPr>
        <w:pStyle w:val="Heading2"/>
      </w:pPr>
      <w:r>
        <w:t>B. Element-by-Element Forensic Analysis</w:t>
      </w:r>
    </w:p>
    <w:p>
      <w:r>
        <w:rPr>
          <w:b/>
        </w:rPr>
        <w:t>Table 1: Forensic Analysis of Fronting Elements</w:t>
      </w:r>
    </w:p>
    <w:tbl>
      <w:tblPr>
        <w:tblW w:w="5000" w:type="pct"/>
        <w:tblBorders>
          <w:top w:val="single" w:color="1a365d" w:sz="8"/>
          <w:left w:val="nil"/>
          <w:bottom w:val="single" w:color="1a365d" w:sz="8"/>
          <w:right w:val="nil"/>
          <w:insideH w:val="single" w:color="cbd5e1" w:sz="4"/>
          <w:insideV w:val="nil"/>
        </w:tblBorders>
        <w:tblCellMar>
          <w:top w:w="100" w:type="dxa"/>
          <w:left w:w="150" w:type="dxa"/>
          <w:bottom w:w="100" w:type="dxa"/>
          <w:right w:w="150" w:type="dxa"/>
        </w:tblCellMar>
      </w:tblPr>
      <w:tblGrid>
        <w:gridCol w:w="2400"/>
        <w:gridCol w:w="3800"/>
        <w:gridCol w:w="1800"/>
      </w:tblGrid>
      <w:tr>
        <w:trPr>
          <w:tblHeader/>
          <w:trHeight w:val="400" w:hRule="atLeast"/>
        </w:trPr>
        <w:tc>
          <w:tcPr>
            <w:tcW w:w="2400" w:type="dxa"/>
            <w:tcBorders>
              <w:bottom w:val="single" w:color="1a365d" w:sz="6"/>
            </w:tcBorders>
            <w:shd w:val="clear" w:fill="f1f5f9"/>
            <w:vAlign w:val="center"/>
          </w:tcPr>
          <w:p>
            <w:pPr>
              <w:spacing w:before="0" w:after="0"/>
              <w:jc w:val="left"/>
            </w:pPr>
            <w:r>
              <w:rPr>
                <w:b/>
                <w:color w:val="1a365d"/>
                <w:sz w:val="22"/>
              </w:rPr>
              <w:t>Element of Fronting (c)</w:t>
            </w:r>
          </w:p>
        </w:tc>
        <w:tc>
          <w:tcPr>
            <w:tcW w:w="3800" w:type="dxa"/>
            <w:tcBorders>
              <w:bottom w:val="single" w:color="1a365d" w:sz="6"/>
            </w:tcBorders>
            <w:shd w:val="clear" w:fill="f1f5f9"/>
            <w:vAlign w:val="center"/>
          </w:tcPr>
          <w:p>
            <w:pPr>
              <w:spacing w:before="0" w:after="0"/>
              <w:jc w:val="left"/>
            </w:pPr>
            <w:r>
              <w:rPr>
                <w:b/>
                <w:color w:val="1a365d"/>
                <w:sz w:val="22"/>
              </w:rPr>
              <w:t>Documentary Evidence</w:t>
            </w:r>
          </w:p>
        </w:tc>
        <w:tc>
          <w:tcPr>
            <w:tcW w:w="1800" w:type="dxa"/>
            <w:tcBorders>
              <w:bottom w:val="single" w:color="1a365d" w:sz="6"/>
            </w:tcBorders>
            <w:shd w:val="clear" w:fill="f1f5f9"/>
            <w:vAlign w:val="center"/>
          </w:tcPr>
          <w:p>
            <w:pPr>
              <w:spacing w:before="0" w:after="0"/>
              <w:jc w:val="left"/>
            </w:pPr>
            <w:r>
              <w:rPr>
                <w:b/>
                <w:color w:val="1a365d"/>
                <w:sz w:val="22"/>
              </w:rPr>
              <w:t>Finding</w:t>
            </w:r>
          </w:p>
        </w:tc>
      </w:tr>
      <w:tr>
        <w:trPr>
          <w:trHeight w:val="360" w:hRule="atLeast"/>
        </w:trPr>
        <w:tc>
          <w:tcPr>
            <w:tcW w:w="2400" w:type="dxa"/>
            <w:vAlign w:val="center"/>
          </w:tcPr>
          <w:p>
            <w:pPr>
              <w:spacing w:before="0" w:after="0"/>
              <w:jc w:val="left"/>
            </w:pPr>
            <w:r>
              <w:rPr>
                <w:color w:val="1e293b"/>
                <w:sz w:val="21"/>
              </w:rPr>
              <w:t>Legal relationship concluded</w:t>
            </w:r>
          </w:p>
        </w:tc>
        <w:tc>
          <w:tcPr>
            <w:tcW w:w="3800" w:type="dxa"/>
            <w:vAlign w:val="center"/>
          </w:tcPr>
          <w:p>
            <w:pPr>
              <w:spacing w:before="0" w:after="0"/>
              <w:jc w:val="left"/>
            </w:pPr>
            <w:r>
              <w:rPr>
                <w:color w:val="1e293b"/>
                <w:sz w:val="21"/>
              </w:rPr>
              <w:t>Appointment letter (09 April 2024) - "Care Coordinator" Grade B4M1</w:t>
            </w:r>
          </w:p>
        </w:tc>
        <w:tc>
          <w:tcPr>
            <w:tcW w:w="1800" w:type="dxa"/>
            <w:vAlign w:val="center"/>
          </w:tcPr>
          <w:p>
            <w:pPr>
              <w:spacing w:before="0" w:after="0"/>
              <w:jc w:val="left"/>
            </w:pPr>
            <w:r>
              <w:rPr>
                <w:color w:val="1e293b"/>
                <w:sz w:val="21"/>
              </w:rPr>
              <w:t>ESTABLISHED</w:t>
            </w:r>
          </w:p>
        </w:tc>
      </w:tr>
      <w:tr>
        <w:trPr>
          <w:trHeight w:val="360" w:hRule="atLeast"/>
        </w:trPr>
        <w:tc>
          <w:tcPr>
            <w:tcW w:w="2400" w:type="dxa"/>
            <w:vAlign w:val="center"/>
          </w:tcPr>
          <w:p>
            <w:pPr>
              <w:spacing w:before="0" w:after="0"/>
              <w:jc w:val="left"/>
            </w:pPr>
            <w:r>
              <w:rPr>
                <w:color w:val="1e293b"/>
                <w:sz w:val="21"/>
              </w:rPr>
              <w:t>Purpose: B-BBEE compliance</w:t>
            </w:r>
          </w:p>
        </w:tc>
        <w:tc>
          <w:tcPr>
            <w:tcW w:w="3800" w:type="dxa"/>
            <w:vAlign w:val="center"/>
          </w:tcPr>
          <w:p>
            <w:pPr>
              <w:spacing w:before="0" w:after="0"/>
              <w:jc w:val="left"/>
            </w:pPr>
            <w:r>
              <w:rPr>
                <w:color w:val="1e293b"/>
                <w:sz w:val="21"/>
              </w:rPr>
              <w:t>Black professional, NQF Level 8. Recruited for "Specialist: Care Manager" - management control role</w:t>
            </w:r>
          </w:p>
        </w:tc>
        <w:tc>
          <w:tcPr>
            <w:tcW w:w="1800" w:type="dxa"/>
            <w:vAlign w:val="center"/>
          </w:tcPr>
          <w:p>
            <w:pPr>
              <w:spacing w:before="0" w:after="0"/>
              <w:jc w:val="left"/>
            </w:pPr>
            <w:r>
              <w:rPr>
                <w:color w:val="1e293b"/>
                <w:sz w:val="21"/>
              </w:rPr>
              <w:t>Prima facie established</w:t>
            </w:r>
          </w:p>
        </w:tc>
      </w:tr>
      <w:tr>
        <w:trPr>
          <w:trHeight w:val="360" w:hRule="atLeast"/>
        </w:trPr>
        <w:tc>
          <w:tcPr>
            <w:tcW w:w="2400" w:type="dxa"/>
            <w:vAlign w:val="center"/>
          </w:tcPr>
          <w:p>
            <w:pPr>
              <w:spacing w:before="0" w:after="0"/>
              <w:jc w:val="left"/>
            </w:pPr>
            <w:r>
              <w:rPr>
                <w:color w:val="1e293b"/>
                <w:sz w:val="21"/>
              </w:rPr>
              <w:t>Without granting economic benefits</w:t>
            </w:r>
          </w:p>
        </w:tc>
        <w:tc>
          <w:tcPr>
            <w:tcW w:w="3800" w:type="dxa"/>
            <w:vAlign w:val="center"/>
          </w:tcPr>
          <w:p>
            <w:pPr>
              <w:spacing w:before="0" w:after="0"/>
              <w:jc w:val="left"/>
            </w:pPr>
            <w:r>
              <w:rPr>
                <w:color w:val="1e293b"/>
                <w:sz w:val="21"/>
              </w:rPr>
              <w:t>Paid at Grade B4M1 (junior), not Case Manager grade. 40.47% unlawful deduction. Certificate suppresses title.</w:t>
            </w:r>
          </w:p>
        </w:tc>
        <w:tc>
          <w:tcPr>
            <w:tcW w:w="1800" w:type="dxa"/>
            <w:vAlign w:val="center"/>
          </w:tcPr>
          <w:p>
            <w:pPr>
              <w:spacing w:before="0" w:after="0"/>
              <w:jc w:val="left"/>
            </w:pPr>
            <w:r>
              <w:rPr>
                <w:color w:val="1e293b"/>
                <w:sz w:val="21"/>
              </w:rPr>
              <w:t>ESTABLISHED</w:t>
            </w:r>
          </w:p>
        </w:tc>
      </w:tr>
      <w:tr>
        <w:trPr>
          <w:trHeight w:val="360" w:hRule="atLeast"/>
        </w:trPr>
        <w:tc>
          <w:tcPr>
            <w:tcW w:w="2400" w:type="dxa"/>
            <w:vAlign w:val="center"/>
          </w:tcPr>
          <w:p>
            <w:pPr>
              <w:spacing w:before="0" w:after="0"/>
              <w:jc w:val="left"/>
            </w:pPr>
            <w:r>
              <w:rPr>
                <w:color w:val="1e293b"/>
                <w:sz w:val="21"/>
              </w:rPr>
              <w:t>Status/position held</w:t>
            </w:r>
          </w:p>
        </w:tc>
        <w:tc>
          <w:tcPr>
            <w:tcW w:w="3800" w:type="dxa"/>
            <w:vAlign w:val="center"/>
          </w:tcPr>
          <w:p>
            <w:pPr>
              <w:spacing w:before="0" w:after="0"/>
              <w:jc w:val="left"/>
            </w:pPr>
            <w:r>
              <w:rPr>
                <w:color w:val="1e293b"/>
                <w:sz w:val="21"/>
              </w:rPr>
              <w:t>Recruited for "Specialist: Care Manager". Naming Convention instructed "Case Manager". Functionally managed 13+ staff.</w:t>
            </w:r>
          </w:p>
        </w:tc>
        <w:tc>
          <w:tcPr>
            <w:tcW w:w="1800" w:type="dxa"/>
            <w:vAlign w:val="center"/>
          </w:tcPr>
          <w:p>
            <w:pPr>
              <w:spacing w:before="0" w:after="0"/>
              <w:jc w:val="left"/>
            </w:pPr>
            <w:r>
              <w:rPr>
                <w:color w:val="1e293b"/>
                <w:sz w:val="21"/>
              </w:rPr>
              <w:t>ESTABLISHED</w:t>
            </w:r>
          </w:p>
        </w:tc>
      </w:tr>
    </w:tbl>
    <w:p>
      <w:pPr>
        <w:spacing w:before="200"/>
      </w:pPr>
      <w:r>
        <w:rPr>
          <w:b/>
        </w:rPr>
        <w:t>Conclusion on Fronting Element (c): </w:t>
      </w:r>
      <w:r>
        <w:t>Prima facie evidence is present in the documentary record. The B-BBEE Commission's assertion that "no verifiable evidence" exists is factually incorrect based on the documents before them. The evidence satisfies all elements of Section 1(c) of the B-BBEE Act.</w:t>
      </w:r>
    </w:p>
    <w:p>
      <w:r>
        <w:br w:type="page"/>
      </w:r>
    </w:p>
    <w:p>
      <w:pPr>
        <w:pStyle w:val="Heading2"/>
      </w:pPr>
      <w:r>
        <w:t>C. Governance Failure: Deliberate Title Suppression as Fronting Mechanism</w:t>
      </w:r>
    </w:p>
    <w:p>
      <w:r>
        <w:rPr>
          <w:b/>
        </w:rPr>
        <w:t>Document Evidence: </w:t>
      </w:r>
      <w:r>
        <w:t>Cheryl-Dawn Modern email (19 January 2026)</w:t>
      </w:r>
    </w:p>
    <w:p>
      <w:pPr>
        <w:ind w:left="720"/>
      </w:pPr>
      <w:r>
        <w:rPr>
          <w:i/>
        </w:rPr>
        <w:t>"With regard to the naming-convention changes, please note that this business process is still in progress, and I can confirm that no changes to the Care Co-Ordinator job title for your department have been implemented at this stage."</w:t>
      </w:r>
    </w:p>
    <w:p>
      <w:r>
        <w:rPr>
          <w:b/>
        </w:rPr>
        <w:t>Forensic Finding:</w:t>
      </w:r>
    </w:p>
    <w:p>
      <w:r>
        <w:t>The naming convention meeting occurred in May 2025 (undisputed). The Respondent instructed employees to update titles to reflect the new organisational structure. The complainant complied, updating their corporate email signature to "Case Manager" on 15 October 2025. The same Respondent then refused to apply the change to the complainant's department only.</w:t>
      </w:r>
    </w:p>
    <w:p>
      <w:r>
        <w:rPr>
          <w:b/>
        </w:rPr>
        <w:t>Governance Violation Analysis:</w:t>
      </w:r>
    </w:p>
    <w:p>
      <w:r>
        <w:t>This conduct is not administrative delay. It constitutes a structured exclusion serving dual purposes: (1) B-BBEE fronting - the complainant's NQF Level 8 profile is used for scorecard points while their formal grade remains suppressed at B4M1; and (2) Evidence destruction - by maintaining "Care Coordinator" on paper, the Respondent can deny the complainant ever held management status.</w:t>
      </w:r>
    </w:p>
    <w:p>
      <w:r>
        <w:t>This pattern is a textbook indicator of fronting under the B-BBEE Codes of Good Practice, specifically Code Series 100 (Management Control), which requires genuine black participation in management decision-making, not merely nominal appointments.</w:t>
      </w:r>
    </w:p>
    <w:p>
      <w:pPr>
        <w:pStyle w:val="Heading2"/>
      </w:pPr>
      <w:r>
        <w:t>D. Governance Failure: Certificate of Service Misrepresentation</w:t>
      </w:r>
    </w:p>
    <w:p>
      <w:r>
        <w:rPr>
          <w:b/>
        </w:rPr>
        <w:t>Document: </w:t>
      </w:r>
      <w:r>
        <w:t>Certificate of Service (19 January 2026)</w:t>
      </w:r>
    </w:p>
    <w:p>
      <w:r>
        <w:t>Records last position as: "Care Coordinator"</w:t>
      </w:r>
    </w:p>
    <w:p>
      <w:r>
        <w:rPr>
          <w:b/>
        </w:rPr>
        <w:t>Contradictory Documents:</w:t>
      </w:r>
    </w:p>
    <w:tbl>
      <w:tblPr>
        <w:tblW w:w="5000" w:type="pct"/>
        <w:tblBorders>
          <w:top w:val="single" w:color="1a365d" w:sz="8"/>
          <w:left w:val="nil"/>
          <w:bottom w:val="single" w:color="1a365d" w:sz="8"/>
          <w:right w:val="nil"/>
          <w:insideH w:val="single" w:color="cbd5e1" w:sz="4"/>
          <w:insideV w:val="nil"/>
        </w:tblBorders>
        <w:tblCellMar>
          <w:top w:w="100" w:type="dxa"/>
          <w:left w:w="150" w:type="dxa"/>
          <w:bottom w:w="100" w:type="dxa"/>
          <w:right w:w="150" w:type="dxa"/>
        </w:tblCellMar>
      </w:tblPr>
      <w:tblGrid>
        <w:gridCol w:w="5000"/>
        <w:gridCol w:w="3000"/>
      </w:tblGrid>
      <w:tr>
        <w:trPr>
          <w:tblHeader/>
          <w:trHeight w:val="400" w:hRule="atLeast"/>
        </w:trPr>
        <w:tc>
          <w:tcPr>
            <w:tcW w:w="5000" w:type="dxa"/>
            <w:tcBorders>
              <w:bottom w:val="single" w:color="1a365d" w:sz="6"/>
            </w:tcBorders>
            <w:shd w:val="clear" w:fill="f1f5f9"/>
            <w:vAlign w:val="center"/>
          </w:tcPr>
          <w:p>
            <w:pPr>
              <w:spacing w:before="0" w:after="0"/>
              <w:jc w:val="left"/>
            </w:pPr>
            <w:r>
              <w:rPr>
                <w:b/>
                <w:color w:val="1a365d"/>
                <w:sz w:val="22"/>
              </w:rPr>
              <w:t>Document</w:t>
            </w:r>
          </w:p>
        </w:tc>
        <w:tc>
          <w:tcPr>
            <w:tcW w:w="3000" w:type="dxa"/>
            <w:tcBorders>
              <w:bottom w:val="single" w:color="1a365d" w:sz="6"/>
            </w:tcBorders>
            <w:shd w:val="clear" w:fill="f1f5f9"/>
            <w:vAlign w:val="center"/>
          </w:tcPr>
          <w:p>
            <w:pPr>
              <w:spacing w:before="0" w:after="0"/>
              <w:jc w:val="left"/>
            </w:pPr>
            <w:r>
              <w:rPr>
                <w:b/>
                <w:color w:val="1a365d"/>
                <w:sz w:val="22"/>
              </w:rPr>
              <w:t>Title Shown</w:t>
            </w:r>
          </w:p>
        </w:tc>
      </w:tr>
      <w:tr>
        <w:trPr>
          <w:trHeight w:val="360" w:hRule="atLeast"/>
        </w:trPr>
        <w:tc>
          <w:tcPr>
            <w:tcW w:w="5000" w:type="dxa"/>
            <w:vAlign w:val="center"/>
          </w:tcPr>
          <w:p>
            <w:pPr>
              <w:spacing w:before="0" w:after="0"/>
              <w:jc w:val="left"/>
            </w:pPr>
            <w:r>
              <w:rPr>
                <w:color w:val="1e293b"/>
                <w:sz w:val="21"/>
              </w:rPr>
              <w:t>Interview invitation (Jan 2024)</w:t>
            </w:r>
          </w:p>
        </w:tc>
        <w:tc>
          <w:tcPr>
            <w:tcW w:w="3000" w:type="dxa"/>
            <w:vAlign w:val="center"/>
          </w:tcPr>
          <w:p>
            <w:pPr>
              <w:spacing w:before="0" w:after="0"/>
              <w:jc w:val="left"/>
            </w:pPr>
            <w:r>
              <w:rPr>
                <w:color w:val="1e293b"/>
                <w:sz w:val="21"/>
              </w:rPr>
              <w:t>Specialist: Care Manager</w:t>
            </w:r>
          </w:p>
        </w:tc>
      </w:tr>
      <w:tr>
        <w:trPr>
          <w:trHeight w:val="360" w:hRule="atLeast"/>
        </w:trPr>
        <w:tc>
          <w:tcPr>
            <w:tcW w:w="5000" w:type="dxa"/>
            <w:vAlign w:val="center"/>
          </w:tcPr>
          <w:p>
            <w:pPr>
              <w:spacing w:before="0" w:after="0"/>
              <w:jc w:val="left"/>
            </w:pPr>
            <w:r>
              <w:rPr>
                <w:color w:val="1e293b"/>
                <w:sz w:val="21"/>
              </w:rPr>
              <w:t>Corporate email signature (15 Oct 2025)</w:t>
            </w:r>
          </w:p>
        </w:tc>
        <w:tc>
          <w:tcPr>
            <w:tcW w:w="3000" w:type="dxa"/>
            <w:vAlign w:val="center"/>
          </w:tcPr>
          <w:p>
            <w:pPr>
              <w:spacing w:before="0" w:after="0"/>
              <w:jc w:val="left"/>
            </w:pPr>
            <w:r>
              <w:rPr>
                <w:color w:val="1e293b"/>
                <w:sz w:val="21"/>
              </w:rPr>
              <w:t>Case Manager</w:t>
            </w:r>
          </w:p>
        </w:tc>
      </w:tr>
      <w:tr>
        <w:trPr>
          <w:trHeight w:val="360" w:hRule="atLeast"/>
        </w:trPr>
        <w:tc>
          <w:tcPr>
            <w:tcW w:w="5000" w:type="dxa"/>
            <w:vAlign w:val="center"/>
          </w:tcPr>
          <w:p>
            <w:pPr>
              <w:spacing w:before="0" w:after="0"/>
              <w:jc w:val="left"/>
            </w:pPr>
            <w:r>
              <w:rPr>
                <w:color w:val="1e293b"/>
                <w:sz w:val="21"/>
              </w:rPr>
              <w:t>Naming Convention meeting (May 2025)</w:t>
            </w:r>
          </w:p>
        </w:tc>
        <w:tc>
          <w:tcPr>
            <w:tcW w:w="3000" w:type="dxa"/>
            <w:vAlign w:val="center"/>
          </w:tcPr>
          <w:p>
            <w:pPr>
              <w:spacing w:before="0" w:after="0"/>
              <w:jc w:val="left"/>
            </w:pPr>
            <w:r>
              <w:rPr>
                <w:color w:val="1e293b"/>
                <w:sz w:val="21"/>
              </w:rPr>
              <w:t>Instruction to use "Case Manager"</w:t>
            </w:r>
          </w:p>
        </w:tc>
      </w:tr>
      <w:tr>
        <w:trPr>
          <w:trHeight w:val="360" w:hRule="atLeast"/>
        </w:trPr>
        <w:tc>
          <w:tcPr>
            <w:tcW w:w="5000" w:type="dxa"/>
            <w:vAlign w:val="center"/>
          </w:tcPr>
          <w:p>
            <w:pPr>
              <w:spacing w:before="0" w:after="0"/>
              <w:jc w:val="left"/>
            </w:pPr>
            <w:r>
              <w:rPr>
                <w:color w:val="1e293b"/>
                <w:sz w:val="21"/>
              </w:rPr>
              <w:t>Functional roster (July 2025)</w:t>
            </w:r>
          </w:p>
        </w:tc>
        <w:tc>
          <w:tcPr>
            <w:tcW w:w="3000" w:type="dxa"/>
            <w:vAlign w:val="center"/>
          </w:tcPr>
          <w:p>
            <w:pPr>
              <w:spacing w:before="0" w:after="0"/>
              <w:jc w:val="left"/>
            </w:pPr>
            <w:r>
              <w:rPr>
                <w:color w:val="1e293b"/>
                <w:sz w:val="21"/>
              </w:rPr>
              <w:t>Acting Chairperson &amp; Lead First Aider</w:t>
            </w:r>
          </w:p>
        </w:tc>
      </w:tr>
      <w:tr>
        <w:trPr>
          <w:trHeight w:val="360" w:hRule="atLeast"/>
        </w:trPr>
        <w:tc>
          <w:tcPr>
            <w:tcW w:w="5000" w:type="dxa"/>
            <w:vAlign w:val="center"/>
          </w:tcPr>
          <w:p>
            <w:pPr>
              <w:spacing w:before="0" w:after="0"/>
              <w:jc w:val="left"/>
            </w:pPr>
            <w:r>
              <w:rPr>
                <w:color w:val="1e293b"/>
                <w:sz w:val="21"/>
              </w:rPr>
              <w:t>Certificate of Service (19 Jan 2026)</w:t>
            </w:r>
          </w:p>
        </w:tc>
        <w:tc>
          <w:tcPr>
            <w:tcW w:w="3000" w:type="dxa"/>
            <w:vAlign w:val="center"/>
          </w:tcPr>
          <w:p>
            <w:pPr>
              <w:spacing w:before="0" w:after="0"/>
              <w:jc w:val="left"/>
            </w:pPr>
            <w:r>
              <w:rPr>
                <w:color w:val="1e293b"/>
                <w:sz w:val="21"/>
              </w:rPr>
              <w:t>Care Coordinator (suppressed)</w:t>
            </w:r>
          </w:p>
        </w:tc>
      </w:tr>
    </w:tbl>
    <w:p>
      <w:r>
        <w:rPr>
          <w:b/>
        </w:rPr>
        <w:t>Forensic Finding:</w:t>
      </w:r>
    </w:p>
    <w:p>
      <w:r>
        <w:t>The Certificate of Service is knowingly false. It was issued after the naming convention meeting, after the complainant's email signature was updated, and after the complainant had performed management functions for several months. This constitutes a violation of Section 13J(5) of the B-BBEE Act, which prohibits the submission of false information regarding B-BBEE status to any verification agency.</w:t>
      </w:r>
    </w:p>
    <w:p>
      <w:r>
        <w:br w:type="page"/>
      </w:r>
    </w:p>
    <w:p>
      <w:pPr>
        <w:pStyle w:val="Heading1"/>
      </w:pPr>
      <w:bookmarkStart w:name="_Toc003" w:id="003"/>
      <w:r>
        <w:t>Part 2: Psychosocial Risk Assessment</w:t>
      </w:r>
      <w:bookmarkEnd w:id="003"/>
    </w:p>
    <w:p>
      <w:r>
        <w:t>A psychosocial risk assessment examines whether institutional actions created a harmful environment, regardless of any individual vulnerability. This assessment is conducted pursuant to the Occupational Health and Safety Act 85 of 1993 and the Employment Equity Act 55 of 1998, which impose duties on employers to maintain psychologically safe workplaces.</w:t>
      </w:r>
    </w:p>
    <w:p>
      <w:r>
        <w:rPr>
          <w:b/>
        </w:rPr>
        <w:t>Table 2: Documented Institutional Conduct Creating Psychosocial Harm</w:t>
      </w:r>
    </w:p>
    <w:tbl>
      <w:tblPr>
        <w:tblW w:w="5000" w:type="pct"/>
        <w:tblBorders>
          <w:top w:val="single" w:color="1a365d" w:sz="8"/>
          <w:left w:val="nil"/>
          <w:bottom w:val="single" w:color="1a365d" w:sz="8"/>
          <w:right w:val="nil"/>
          <w:insideH w:val="single" w:color="cbd5e1" w:sz="4"/>
          <w:insideV w:val="nil"/>
        </w:tblBorders>
        <w:tblCellMar>
          <w:top w:w="100" w:type="dxa"/>
          <w:left w:w="150" w:type="dxa"/>
          <w:bottom w:w="100" w:type="dxa"/>
          <w:right w:w="150" w:type="dxa"/>
        </w:tblCellMar>
      </w:tblPr>
      <w:tblGrid>
        <w:gridCol w:w="2800"/>
        <w:gridCol w:w="2600"/>
        <w:gridCol w:w="2600"/>
      </w:tblGrid>
      <w:tr>
        <w:trPr>
          <w:tblHeader/>
          <w:trHeight w:val="400" w:hRule="atLeast"/>
        </w:trPr>
        <w:tc>
          <w:tcPr>
            <w:tcW w:w="2800" w:type="dxa"/>
            <w:tcBorders>
              <w:bottom w:val="single" w:color="1a365d" w:sz="6"/>
            </w:tcBorders>
            <w:shd w:val="clear" w:fill="f1f5f9"/>
            <w:vAlign w:val="center"/>
          </w:tcPr>
          <w:p>
            <w:pPr>
              <w:spacing w:before="0" w:after="0"/>
              <w:jc w:val="left"/>
            </w:pPr>
            <w:r>
              <w:rPr>
                <w:b/>
                <w:color w:val="1a365d"/>
                <w:sz w:val="22"/>
              </w:rPr>
              <w:t>Conduct</w:t>
            </w:r>
          </w:p>
        </w:tc>
        <w:tc>
          <w:tcPr>
            <w:tcW w:w="2600" w:type="dxa"/>
            <w:tcBorders>
              <w:bottom w:val="single" w:color="1a365d" w:sz="6"/>
            </w:tcBorders>
            <w:shd w:val="clear" w:fill="f1f5f9"/>
            <w:vAlign w:val="center"/>
          </w:tcPr>
          <w:p>
            <w:pPr>
              <w:spacing w:before="0" w:after="0"/>
              <w:jc w:val="left"/>
            </w:pPr>
            <w:r>
              <w:rPr>
                <w:b/>
                <w:color w:val="1a365d"/>
                <w:sz w:val="22"/>
              </w:rPr>
              <w:t>Evidence</w:t>
            </w:r>
          </w:p>
        </w:tc>
        <w:tc>
          <w:tcPr>
            <w:tcW w:w="2600" w:type="dxa"/>
            <w:tcBorders>
              <w:bottom w:val="single" w:color="1a365d" w:sz="6"/>
            </w:tcBorders>
            <w:shd w:val="clear" w:fill="f1f5f9"/>
            <w:vAlign w:val="center"/>
          </w:tcPr>
          <w:p>
            <w:pPr>
              <w:spacing w:before="0" w:after="0"/>
              <w:jc w:val="left"/>
            </w:pPr>
            <w:r>
              <w:rPr>
                <w:b/>
                <w:color w:val="1a365d"/>
                <w:sz w:val="22"/>
              </w:rPr>
              <w:t>Psychosocial Risk Factor</w:t>
            </w:r>
          </w:p>
        </w:tc>
      </w:tr>
      <w:tr>
        <w:trPr>
          <w:trHeight w:val="360" w:hRule="atLeast"/>
        </w:trPr>
        <w:tc>
          <w:tcPr>
            <w:tcW w:w="2800" w:type="dxa"/>
            <w:vAlign w:val="center"/>
          </w:tcPr>
          <w:p>
            <w:pPr>
              <w:spacing w:before="0" w:after="0"/>
              <w:jc w:val="left"/>
            </w:pPr>
            <w:r>
              <w:rPr>
                <w:color w:val="1e293b"/>
                <w:sz w:val="21"/>
              </w:rPr>
              <w:t>Recruitment as "Specialist" -&gt; demotion to "Coordinator"</w:t>
            </w:r>
          </w:p>
        </w:tc>
        <w:tc>
          <w:tcPr>
            <w:tcW w:w="2600" w:type="dxa"/>
            <w:vAlign w:val="center"/>
          </w:tcPr>
          <w:p>
            <w:pPr>
              <w:spacing w:before="0" w:after="0"/>
              <w:jc w:val="left"/>
            </w:pPr>
            <w:r>
              <w:rPr>
                <w:color w:val="1e293b"/>
                <w:sz w:val="21"/>
              </w:rPr>
              <w:t>Annexure A1 vs A2</w:t>
            </w:r>
          </w:p>
        </w:tc>
        <w:tc>
          <w:tcPr>
            <w:tcW w:w="2600" w:type="dxa"/>
            <w:vAlign w:val="center"/>
          </w:tcPr>
          <w:p>
            <w:pPr>
              <w:spacing w:before="0" w:after="0"/>
              <w:jc w:val="left"/>
            </w:pPr>
            <w:r>
              <w:rPr>
                <w:color w:val="1e293b"/>
                <w:sz w:val="21"/>
              </w:rPr>
              <w:t>Identity dissonance; betrayal of trust</w:t>
            </w:r>
          </w:p>
        </w:tc>
      </w:tr>
      <w:tr>
        <w:trPr>
          <w:trHeight w:val="360" w:hRule="atLeast"/>
        </w:trPr>
        <w:tc>
          <w:tcPr>
            <w:tcW w:w="2800" w:type="dxa"/>
            <w:vAlign w:val="center"/>
          </w:tcPr>
          <w:p>
            <w:pPr>
              <w:spacing w:before="0" w:after="0"/>
              <w:jc w:val="left"/>
            </w:pPr>
            <w:r>
              <w:rPr>
                <w:color w:val="1e293b"/>
                <w:sz w:val="21"/>
              </w:rPr>
              <w:t>Instruction to use "Case Manager" -&gt; later denial</w:t>
            </w:r>
          </w:p>
        </w:tc>
        <w:tc>
          <w:tcPr>
            <w:tcW w:w="2600" w:type="dxa"/>
            <w:vAlign w:val="center"/>
          </w:tcPr>
          <w:p>
            <w:pPr>
              <w:spacing w:before="0" w:after="0"/>
              <w:jc w:val="left"/>
            </w:pPr>
            <w:r>
              <w:rPr>
                <w:color w:val="1e293b"/>
                <w:sz w:val="21"/>
              </w:rPr>
              <w:t>Cheryl-Dawn email (19 Jan 2026)</w:t>
            </w:r>
          </w:p>
        </w:tc>
        <w:tc>
          <w:tcPr>
            <w:tcW w:w="2600" w:type="dxa"/>
            <w:vAlign w:val="center"/>
          </w:tcPr>
          <w:p>
            <w:pPr>
              <w:spacing w:before="0" w:after="0"/>
              <w:jc w:val="left"/>
            </w:pPr>
            <w:r>
              <w:rPr>
                <w:color w:val="1e293b"/>
                <w:sz w:val="21"/>
              </w:rPr>
              <w:t>Gaslighting; institutional invalidation</w:t>
            </w:r>
          </w:p>
        </w:tc>
      </w:tr>
      <w:tr>
        <w:trPr>
          <w:trHeight w:val="360" w:hRule="atLeast"/>
        </w:trPr>
        <w:tc>
          <w:tcPr>
            <w:tcW w:w="2800" w:type="dxa"/>
            <w:vAlign w:val="center"/>
          </w:tcPr>
          <w:p>
            <w:pPr>
              <w:spacing w:before="0" w:after="0"/>
              <w:jc w:val="left"/>
            </w:pPr>
            <w:r>
              <w:rPr>
                <w:color w:val="1e293b"/>
                <w:sz w:val="21"/>
              </w:rPr>
              <w:t>Unlawful 40.47% salary deduction</w:t>
            </w:r>
          </w:p>
        </w:tc>
        <w:tc>
          <w:tcPr>
            <w:tcW w:w="2600" w:type="dxa"/>
            <w:vAlign w:val="center"/>
          </w:tcPr>
          <w:p>
            <w:pPr>
              <w:spacing w:before="0" w:after="0"/>
              <w:jc w:val="left"/>
            </w:pPr>
            <w:r>
              <w:rPr>
                <w:color w:val="1e293b"/>
                <w:sz w:val="21"/>
              </w:rPr>
              <w:t>July 2025 payslip (Annexure A7)</w:t>
            </w:r>
          </w:p>
        </w:tc>
        <w:tc>
          <w:tcPr>
            <w:tcW w:w="2600" w:type="dxa"/>
            <w:vAlign w:val="center"/>
          </w:tcPr>
          <w:p>
            <w:pPr>
              <w:spacing w:before="0" w:after="0"/>
              <w:jc w:val="left"/>
            </w:pPr>
            <w:r>
              <w:rPr>
                <w:color w:val="1e293b"/>
                <w:sz w:val="21"/>
              </w:rPr>
              <w:t>Financial precarity; economic abuse</w:t>
            </w:r>
          </w:p>
        </w:tc>
      </w:tr>
      <w:tr>
        <w:trPr>
          <w:trHeight w:val="360" w:hRule="atLeast"/>
        </w:trPr>
        <w:tc>
          <w:tcPr>
            <w:tcW w:w="2800" w:type="dxa"/>
            <w:vAlign w:val="center"/>
          </w:tcPr>
          <w:p>
            <w:pPr>
              <w:spacing w:before="0" w:after="0"/>
              <w:jc w:val="left"/>
            </w:pPr>
            <w:r>
              <w:rPr>
                <w:color w:val="1e293b"/>
                <w:sz w:val="21"/>
              </w:rPr>
              <w:t>Certificate contradicting own records</w:t>
            </w:r>
          </w:p>
        </w:tc>
        <w:tc>
          <w:tcPr>
            <w:tcW w:w="2600" w:type="dxa"/>
            <w:vAlign w:val="center"/>
          </w:tcPr>
          <w:p>
            <w:pPr>
              <w:spacing w:before="0" w:after="0"/>
              <w:jc w:val="left"/>
            </w:pPr>
            <w:r>
              <w:rPr>
                <w:color w:val="1e293b"/>
                <w:sz w:val="21"/>
              </w:rPr>
              <w:t>Certificate vs email signature</w:t>
            </w:r>
          </w:p>
        </w:tc>
        <w:tc>
          <w:tcPr>
            <w:tcW w:w="2600" w:type="dxa"/>
            <w:vAlign w:val="center"/>
          </w:tcPr>
          <w:p>
            <w:pPr>
              <w:spacing w:before="0" w:after="0"/>
              <w:jc w:val="left"/>
            </w:pPr>
            <w:r>
              <w:rPr>
                <w:color w:val="1e293b"/>
                <w:sz w:val="21"/>
              </w:rPr>
              <w:t>Institutional deception</w:t>
            </w:r>
          </w:p>
        </w:tc>
      </w:tr>
      <w:tr>
        <w:trPr>
          <w:trHeight w:val="360" w:hRule="atLeast"/>
        </w:trPr>
        <w:tc>
          <w:tcPr>
            <w:tcW w:w="2800" w:type="dxa"/>
            <w:vAlign w:val="center"/>
          </w:tcPr>
          <w:p>
            <w:pPr>
              <w:spacing w:before="0" w:after="0"/>
              <w:jc w:val="left"/>
            </w:pPr>
            <w:r>
              <w:rPr>
                <w:color w:val="1e293b"/>
                <w:sz w:val="21"/>
              </w:rPr>
              <w:t>HR admitting exclusion in writing</w:t>
            </w:r>
          </w:p>
        </w:tc>
        <w:tc>
          <w:tcPr>
            <w:tcW w:w="2600" w:type="dxa"/>
            <w:vAlign w:val="center"/>
          </w:tcPr>
          <w:p>
            <w:pPr>
              <w:spacing w:before="0" w:after="0"/>
              <w:jc w:val="left"/>
            </w:pPr>
            <w:r>
              <w:rPr>
                <w:color w:val="1e293b"/>
                <w:sz w:val="21"/>
              </w:rPr>
              <w:t>"Not applied to your department"</w:t>
            </w:r>
          </w:p>
        </w:tc>
        <w:tc>
          <w:tcPr>
            <w:tcW w:w="2600" w:type="dxa"/>
            <w:vAlign w:val="center"/>
          </w:tcPr>
          <w:p>
            <w:pPr>
              <w:spacing w:before="0" w:after="0"/>
              <w:jc w:val="left"/>
            </w:pPr>
            <w:r>
              <w:rPr>
                <w:color w:val="1e293b"/>
                <w:sz w:val="21"/>
              </w:rPr>
              <w:t>Formalised othering</w:t>
            </w:r>
          </w:p>
        </w:tc>
      </w:tr>
      <w:tr>
        <w:trPr>
          <w:trHeight w:val="360" w:hRule="atLeast"/>
        </w:trPr>
        <w:tc>
          <w:tcPr>
            <w:tcW w:w="2800" w:type="dxa"/>
            <w:vAlign w:val="center"/>
          </w:tcPr>
          <w:p>
            <w:pPr>
              <w:spacing w:before="0" w:after="0"/>
              <w:jc w:val="left"/>
            </w:pPr>
            <w:r>
              <w:rPr>
                <w:color w:val="1e293b"/>
                <w:sz w:val="21"/>
              </w:rPr>
              <w:t>Withholding UIF by reclassifying departure</w:t>
            </w:r>
          </w:p>
        </w:tc>
        <w:tc>
          <w:tcPr>
            <w:tcW w:w="2600" w:type="dxa"/>
            <w:vAlign w:val="center"/>
          </w:tcPr>
          <w:p>
            <w:pPr>
              <w:spacing w:before="0" w:after="0"/>
              <w:jc w:val="left"/>
            </w:pPr>
            <w:r>
              <w:rPr>
                <w:color w:val="1e293b"/>
                <w:sz w:val="21"/>
              </w:rPr>
              <w:t>Annexure A8</w:t>
            </w:r>
          </w:p>
        </w:tc>
        <w:tc>
          <w:tcPr>
            <w:tcW w:w="2600" w:type="dxa"/>
            <w:vAlign w:val="center"/>
          </w:tcPr>
          <w:p>
            <w:pPr>
              <w:spacing w:before="0" w:after="0"/>
              <w:jc w:val="left"/>
            </w:pPr>
            <w:r>
              <w:rPr>
                <w:color w:val="1e293b"/>
                <w:sz w:val="21"/>
              </w:rPr>
              <w:t>Post-employment sabotage</w:t>
            </w:r>
          </w:p>
        </w:tc>
      </w:tr>
    </w:tbl>
    <w:p>
      <w:r>
        <w:rPr>
          <w:b/>
        </w:rPr>
        <w:t>Psychosocial Risk Conclusion:</w:t>
      </w:r>
    </w:p>
    <w:p>
      <w:r>
        <w:t>The institution engaged in a pattern of contradictory, exclusionary, and economically damaging conduct directed at a single employee who made protected disclosures. This meets the threshold for:</w:t>
      </w:r>
    </w:p>
    <w:p>
      <w:pPr>
        <w:numPr>
          <w:ilvl w:val="0"/>
          <w:numId w:val="1"/>
        </w:numPr>
      </w:pPr>
      <w:r>
        <w:t>Occupational detriment under Section 3(1) of the Protected Disclosures Act 26 of 2000</w:t>
      </w:r>
    </w:p>
    <w:p>
      <w:pPr>
        <w:numPr>
          <w:ilvl w:val="0"/>
          <w:numId w:val="1"/>
        </w:numPr>
      </w:pPr>
      <w:r>
        <w:t>Constructive dismissal (prima facie) under Section 186(1)(e) of the Labour Relations Act 66 of 1995</w:t>
      </w:r>
    </w:p>
    <w:p>
      <w:pPr>
        <w:numPr>
          <w:ilvl w:val="0"/>
          <w:numId w:val="1"/>
        </w:numPr>
      </w:pPr>
      <w:r>
        <w:t>Institutional gaslighting - repeated denial of documented facts</w:t>
      </w:r>
    </w:p>
    <w:p>
      <w:pPr>
        <w:numPr>
          <w:ilvl w:val="0"/>
          <w:numId w:val="1"/>
        </w:numPr>
      </w:pPr>
      <w:r>
        <w:t>Economic coercion - unlawful deduction + UIF denial</w:t>
      </w:r>
    </w:p>
    <w:p>
      <w:r>
        <w:t>These are not "mere labour disputes." They are governance failures with measurable psychosocial impact, potentially constituting violations of the Employment Equity Act's prohibition on unfair discrimination.</w:t>
      </w:r>
    </w:p>
    <w:p>
      <w:r>
        <w:br w:type="page"/>
      </w:r>
    </w:p>
    <w:p>
      <w:pPr>
        <w:pStyle w:val="Heading1"/>
      </w:pPr>
      <w:bookmarkStart w:name="_Toc004" w:id="004"/>
      <w:r>
        <w:t>Part 3: B-BBEE Commission Assessment Review</w:t>
      </w:r>
      <w:bookmarkEnd w:id="004"/>
    </w:p>
    <w:p>
      <w:r>
        <w:t>This section examines whether the B-BBEE Commission erred in its assessment of the complaint, applying principles of administrative law under the Promotion of Administrative Justice Act 3 of 2000 (PAJA).</w:t>
      </w:r>
    </w:p>
    <w:p>
      <w:r>
        <w:rPr>
          <w:b/>
        </w:rPr>
        <w:t>Table 3: Commission's Stated Reasons vs Documentary Evidence</w:t>
      </w:r>
    </w:p>
    <w:tbl>
      <w:tblPr>
        <w:tblW w:w="5000" w:type="pct"/>
        <w:tblBorders>
          <w:top w:val="single" w:color="1a365d" w:sz="8"/>
          <w:left w:val="nil"/>
          <w:bottom w:val="single" w:color="1a365d" w:sz="8"/>
          <w:right w:val="nil"/>
          <w:insideH w:val="single" w:color="cbd5e1" w:sz="4"/>
          <w:insideV w:val="nil"/>
        </w:tblBorders>
        <w:tblCellMar>
          <w:top w:w="100" w:type="dxa"/>
          <w:left w:w="150" w:type="dxa"/>
          <w:bottom w:w="100" w:type="dxa"/>
          <w:right w:w="150" w:type="dxa"/>
        </w:tblCellMar>
      </w:tblPr>
      <w:tblGrid>
        <w:gridCol w:w="3200"/>
        <w:gridCol w:w="2400"/>
        <w:gridCol w:w="2400"/>
      </w:tblGrid>
      <w:tr>
        <w:trPr>
          <w:tblHeader/>
          <w:trHeight w:val="400" w:hRule="atLeast"/>
        </w:trPr>
        <w:tc>
          <w:tcPr>
            <w:tcW w:w="3200" w:type="dxa"/>
            <w:tcBorders>
              <w:bottom w:val="single" w:color="1a365d" w:sz="6"/>
            </w:tcBorders>
            <w:shd w:val="clear" w:fill="f1f5f9"/>
            <w:vAlign w:val="center"/>
          </w:tcPr>
          <w:p>
            <w:pPr>
              <w:spacing w:before="0" w:after="0"/>
              <w:jc w:val="left"/>
            </w:pPr>
            <w:r>
              <w:rPr>
                <w:b/>
                <w:color w:val="1a365d"/>
                <w:sz w:val="22"/>
              </w:rPr>
              <w:t>Commission's Reason</w:t>
            </w:r>
          </w:p>
        </w:tc>
        <w:tc>
          <w:tcPr>
            <w:tcW w:w="2400" w:type="dxa"/>
            <w:tcBorders>
              <w:bottom w:val="single" w:color="1a365d" w:sz="6"/>
            </w:tcBorders>
            <w:shd w:val="clear" w:fill="f1f5f9"/>
            <w:vAlign w:val="center"/>
          </w:tcPr>
          <w:p>
            <w:pPr>
              <w:spacing w:before="0" w:after="0"/>
              <w:jc w:val="left"/>
            </w:pPr>
            <w:r>
              <w:rPr>
                <w:b/>
                <w:color w:val="1a365d"/>
                <w:sz w:val="22"/>
              </w:rPr>
              <w:t>Evidence Provided</w:t>
            </w:r>
          </w:p>
        </w:tc>
        <w:tc>
          <w:tcPr>
            <w:tcW w:w="2400" w:type="dxa"/>
            <w:tcBorders>
              <w:bottom w:val="single" w:color="1a365d" w:sz="6"/>
            </w:tcBorders>
            <w:shd w:val="clear" w:fill="f1f5f9"/>
            <w:vAlign w:val="center"/>
          </w:tcPr>
          <w:p>
            <w:pPr>
              <w:spacing w:before="0" w:after="0"/>
              <w:jc w:val="left"/>
            </w:pPr>
            <w:r>
              <w:rPr>
                <w:b/>
                <w:color w:val="1a365d"/>
                <w:sz w:val="22"/>
              </w:rPr>
              <w:t>Assessment</w:t>
            </w:r>
          </w:p>
        </w:tc>
      </w:tr>
      <w:tr>
        <w:trPr>
          <w:trHeight w:val="360" w:hRule="atLeast"/>
        </w:trPr>
        <w:tc>
          <w:tcPr>
            <w:tcW w:w="3200" w:type="dxa"/>
            <w:vAlign w:val="center"/>
          </w:tcPr>
          <w:p>
            <w:pPr>
              <w:spacing w:before="0" w:after="0"/>
              <w:jc w:val="left"/>
            </w:pPr>
            <w:r>
              <w:rPr>
                <w:color w:val="1e293b"/>
                <w:sz w:val="21"/>
              </w:rPr>
              <w:t>No evidence Medscheme claimed B-BBEE points using your profile</w:t>
            </w:r>
          </w:p>
        </w:tc>
        <w:tc>
          <w:tcPr>
            <w:tcW w:w="2400" w:type="dxa"/>
            <w:vAlign w:val="center"/>
          </w:tcPr>
          <w:p>
            <w:pPr>
              <w:spacing w:before="0" w:after="0"/>
              <w:jc w:val="left"/>
            </w:pPr>
            <w:r>
              <w:rPr>
                <w:color w:val="1e293b"/>
                <w:sz w:val="21"/>
              </w:rPr>
              <w:t>Complainant cannot access internal scorecard; requested subpoena; refused</w:t>
            </w:r>
          </w:p>
        </w:tc>
        <w:tc>
          <w:tcPr>
            <w:tcW w:w="2400" w:type="dxa"/>
            <w:vAlign w:val="center"/>
          </w:tcPr>
          <w:p>
            <w:pPr>
              <w:spacing w:before="0" w:after="0"/>
              <w:jc w:val="left"/>
            </w:pPr>
            <w:r>
              <w:rPr>
                <w:color w:val="1e293b"/>
                <w:sz w:val="21"/>
              </w:rPr>
              <w:t>Procedural catch-22, not evidentiary failure. Commission failed to use Section 13K powers.</w:t>
            </w:r>
          </w:p>
        </w:tc>
      </w:tr>
      <w:tr>
        <w:trPr>
          <w:trHeight w:val="360" w:hRule="atLeast"/>
        </w:trPr>
        <w:tc>
          <w:tcPr>
            <w:tcW w:w="3200" w:type="dxa"/>
            <w:vAlign w:val="center"/>
          </w:tcPr>
          <w:p>
            <w:pPr>
              <w:spacing w:before="0" w:after="0"/>
              <w:jc w:val="left"/>
            </w:pPr>
            <w:r>
              <w:rPr>
                <w:color w:val="1e293b"/>
                <w:sz w:val="21"/>
              </w:rPr>
              <w:t>Job title changes alone do not constitute fronting</w:t>
            </w:r>
          </w:p>
        </w:tc>
        <w:tc>
          <w:tcPr>
            <w:tcW w:w="2400" w:type="dxa"/>
            <w:vAlign w:val="center"/>
          </w:tcPr>
          <w:p>
            <w:pPr>
              <w:spacing w:before="0" w:after="0"/>
              <w:jc w:val="left"/>
            </w:pPr>
            <w:r>
              <w:rPr>
                <w:color w:val="1e293b"/>
                <w:sz w:val="21"/>
              </w:rPr>
              <w:t>Management roster, Naming Convention, HR admission, false certificate provided</w:t>
            </w:r>
          </w:p>
        </w:tc>
        <w:tc>
          <w:tcPr>
            <w:tcW w:w="2400" w:type="dxa"/>
            <w:vAlign w:val="center"/>
          </w:tcPr>
          <w:p>
            <w:pPr>
              <w:spacing w:before="0" w:after="0"/>
              <w:jc w:val="left"/>
            </w:pPr>
            <w:r>
              <w:rPr>
                <w:color w:val="1e293b"/>
                <w:sz w:val="21"/>
              </w:rPr>
              <w:t>Commission ignored or minimised this evidence</w:t>
            </w:r>
          </w:p>
        </w:tc>
      </w:tr>
      <w:tr>
        <w:trPr>
          <w:trHeight w:val="360" w:hRule="atLeast"/>
        </w:trPr>
        <w:tc>
          <w:tcPr>
            <w:tcW w:w="3200" w:type="dxa"/>
            <w:vAlign w:val="center"/>
          </w:tcPr>
          <w:p>
            <w:pPr>
              <w:spacing w:before="0" w:after="0"/>
              <w:jc w:val="left"/>
            </w:pPr>
            <w:r>
              <w:rPr>
                <w:color w:val="1e293b"/>
                <w:sz w:val="21"/>
              </w:rPr>
              <w:t>H&amp;S Chairperson relates to OHSA, not B-BBEE</w:t>
            </w:r>
          </w:p>
        </w:tc>
        <w:tc>
          <w:tcPr>
            <w:tcW w:w="2400" w:type="dxa"/>
            <w:vAlign w:val="center"/>
          </w:tcPr>
          <w:p>
            <w:pPr>
              <w:spacing w:before="0" w:after="0"/>
              <w:jc w:val="left"/>
            </w:pPr>
            <w:r>
              <w:rPr>
                <w:color w:val="1e293b"/>
                <w:sz w:val="21"/>
              </w:rPr>
              <w:t>OHSA management roles fall under Management Control in B-BBEE Codes</w:t>
            </w:r>
          </w:p>
        </w:tc>
        <w:tc>
          <w:tcPr>
            <w:tcW w:w="2400" w:type="dxa"/>
            <w:vAlign w:val="center"/>
          </w:tcPr>
          <w:p>
            <w:pPr>
              <w:spacing w:before="0" w:after="0"/>
              <w:jc w:val="left"/>
            </w:pPr>
            <w:r>
              <w:rPr>
                <w:color w:val="1e293b"/>
                <w:sz w:val="21"/>
              </w:rPr>
              <w:t>Commission applied overly narrow interpretation</w:t>
            </w:r>
          </w:p>
        </w:tc>
      </w:tr>
      <w:tr>
        <w:trPr>
          <w:trHeight w:val="360" w:hRule="atLeast"/>
        </w:trPr>
        <w:tc>
          <w:tcPr>
            <w:tcW w:w="3200" w:type="dxa"/>
            <w:vAlign w:val="center"/>
          </w:tcPr>
          <w:p>
            <w:pPr>
              <w:spacing w:before="0" w:after="0"/>
              <w:jc w:val="left"/>
            </w:pPr>
            <w:r>
              <w:rPr>
                <w:color w:val="1e293b"/>
                <w:sz w:val="21"/>
              </w:rPr>
              <w:t>Remedies sought are outside our powers</w:t>
            </w:r>
          </w:p>
        </w:tc>
        <w:tc>
          <w:tcPr>
            <w:tcW w:w="2400" w:type="dxa"/>
            <w:vAlign w:val="center"/>
          </w:tcPr>
          <w:p>
            <w:pPr>
              <w:spacing w:before="0" w:after="0"/>
              <w:jc w:val="left"/>
            </w:pPr>
            <w:r>
              <w:rPr>
                <w:color w:val="1e293b"/>
                <w:sz w:val="21"/>
              </w:rPr>
              <w:t>Complainant primarily sought investigation and referral, not compensation</w:t>
            </w:r>
          </w:p>
        </w:tc>
        <w:tc>
          <w:tcPr>
            <w:tcW w:w="2400" w:type="dxa"/>
            <w:vAlign w:val="center"/>
          </w:tcPr>
          <w:p>
            <w:pPr>
              <w:spacing w:before="0" w:after="0"/>
              <w:jc w:val="left"/>
            </w:pPr>
            <w:r>
              <w:rPr>
                <w:color w:val="1e293b"/>
                <w:sz w:val="21"/>
              </w:rPr>
              <w:t>Non-jurisdictional objection, not a finding on fronting</w:t>
            </w:r>
          </w:p>
        </w:tc>
      </w:tr>
    </w:tbl>
    <w:p>
      <w:r>
        <w:rPr>
          <w:b/>
        </w:rPr>
        <w:t>Forensic Conclusion on Commission's Decision:</w:t>
      </w:r>
    </w:p>
    <w:p>
      <w:r>
        <w:t>The Commission did not engage substantively with the evidence of: (1) The Naming Convention instruction; (2) Cheryl-Dawn's written admission of exclusion; (3) The false Certificate of Service; and (4) The complainant's functional management control (roster of 13+ staff). Instead, they treated the complaint as a pure labour dispute and ignored the fronting architecture documented in the papers.</w:t>
      </w:r>
    </w:p>
    <w:p>
      <w:r>
        <w:t>This constitutes a reviewable decision under PAJA Section 6(2)(e)(iii) - failure to take relevant facts into consideration - and Section 6(2)(f) - action taken for an ulterior purpose or in bad faith.</w:t>
      </w:r>
    </w:p>
    <w:p>
      <w:r>
        <w:br w:type="page"/>
      </w:r>
    </w:p>
    <w:p>
      <w:pPr>
        <w:pStyle w:val="Heading1"/>
      </w:pPr>
      <w:bookmarkStart w:name="_Toc005" w:id="005"/>
      <w:r>
        <w:t>Part 4: Regulatory Failure &amp; Buck-Passing Analysis</w:t>
      </w:r>
      <w:bookmarkEnd w:id="005"/>
    </w:p>
    <w:p>
      <w:r>
        <w:t>This section documents the systemic pattern of jurisdictional buck-passing among regulatory bodies, creating an access to justice failure for the complainant.</w:t>
      </w:r>
    </w:p>
    <w:p>
      <w:pPr>
        <w:pStyle w:val="Heading2"/>
      </w:pPr>
      <w:r>
        <w:t>A. B-BBEE Commission - Express Jurisdictional Buck-Passing</w:t>
      </w:r>
    </w:p>
    <w:p>
      <w:r>
        <w:rPr>
          <w:b/>
        </w:rPr>
        <w:t>Document: </w:t>
      </w:r>
      <w:r>
        <w:t>B-BBEE Commission Notice of Non-Investigation (30 March 2026)</w:t>
      </w:r>
    </w:p>
    <w:p>
      <w:r>
        <w:t>Key buck-passing statements:</w:t>
      </w:r>
    </w:p>
    <w:tbl>
      <w:tblPr>
        <w:tblW w:w="5000" w:type="pct"/>
        <w:tblBorders>
          <w:top w:val="single" w:color="1a365d" w:sz="8"/>
          <w:left w:val="nil"/>
          <w:bottom w:val="single" w:color="1a365d" w:sz="8"/>
          <w:right w:val="nil"/>
          <w:insideH w:val="single" w:color="cbd5e1" w:sz="4"/>
          <w:insideV w:val="nil"/>
        </w:tblBorders>
        <w:tblCellMar>
          <w:top w:w="100" w:type="dxa"/>
          <w:left w:w="150" w:type="dxa"/>
          <w:bottom w:w="100" w:type="dxa"/>
          <w:right w:w="150" w:type="dxa"/>
        </w:tblCellMar>
      </w:tblPr>
      <w:tblGrid>
        <w:gridCol w:w="6000"/>
        <w:gridCol w:w="2000"/>
      </w:tblGrid>
      <w:tr>
        <w:trPr>
          <w:tblHeader/>
          <w:trHeight w:val="400" w:hRule="atLeast"/>
        </w:trPr>
        <w:tc>
          <w:tcPr>
            <w:tcW w:w="6000" w:type="dxa"/>
            <w:tcBorders>
              <w:bottom w:val="single" w:color="1a365d" w:sz="6"/>
            </w:tcBorders>
            <w:shd w:val="clear" w:fill="f1f5f9"/>
            <w:vAlign w:val="center"/>
          </w:tcPr>
          <w:p>
            <w:pPr>
              <w:spacing w:before="0" w:after="0"/>
              <w:jc w:val="left"/>
            </w:pPr>
            <w:r>
              <w:rPr>
                <w:b/>
                <w:color w:val="1a365d"/>
                <w:sz w:val="22"/>
              </w:rPr>
              <w:t>Quote from Commission Notice</w:t>
            </w:r>
          </w:p>
        </w:tc>
        <w:tc>
          <w:tcPr>
            <w:tcW w:w="2000" w:type="dxa"/>
            <w:tcBorders>
              <w:bottom w:val="single" w:color="1a365d" w:sz="6"/>
            </w:tcBorders>
            <w:shd w:val="clear" w:fill="f1f5f9"/>
            <w:vAlign w:val="center"/>
          </w:tcPr>
          <w:p>
            <w:pPr>
              <w:spacing w:before="0" w:after="0"/>
              <w:jc w:val="left"/>
            </w:pPr>
            <w:r>
              <w:rPr>
                <w:b/>
                <w:color w:val="1a365d"/>
                <w:sz w:val="22"/>
              </w:rPr>
              <w:t>Passed To</w:t>
            </w:r>
          </w:p>
        </w:tc>
      </w:tr>
      <w:tr>
        <w:trPr>
          <w:trHeight w:val="360" w:hRule="atLeast"/>
        </w:trPr>
        <w:tc>
          <w:tcPr>
            <w:tcW w:w="6000" w:type="dxa"/>
            <w:vAlign w:val="center"/>
          </w:tcPr>
          <w:p>
            <w:pPr>
              <w:spacing w:before="0" w:after="0"/>
              <w:jc w:val="left"/>
            </w:pPr>
            <w:r>
              <w:rPr>
                <w:color w:val="1e293b"/>
                <w:sz w:val="21"/>
              </w:rPr>
              <w:t>Allegations relate to labour-related disputes, unfair discrimination, retaliation... These matters fall within the jurisdiction of labour institutions</w:t>
            </w:r>
          </w:p>
        </w:tc>
        <w:tc>
          <w:tcPr>
            <w:tcW w:w="2000" w:type="dxa"/>
            <w:vAlign w:val="center"/>
          </w:tcPr>
          <w:p>
            <w:pPr>
              <w:spacing w:before="0" w:after="0"/>
              <w:jc w:val="left"/>
            </w:pPr>
            <w:r>
              <w:rPr>
                <w:color w:val="1e293b"/>
                <w:sz w:val="21"/>
              </w:rPr>
              <w:t>CCMA, Labour Court, DEL, SAHRC</w:t>
            </w:r>
          </w:p>
        </w:tc>
      </w:tr>
      <w:tr>
        <w:trPr>
          <w:trHeight w:val="360" w:hRule="atLeast"/>
        </w:trPr>
        <w:tc>
          <w:tcPr>
            <w:tcW w:w="6000" w:type="dxa"/>
            <w:vAlign w:val="center"/>
          </w:tcPr>
          <w:p>
            <w:pPr>
              <w:spacing w:before="0" w:after="0"/>
              <w:jc w:val="left"/>
            </w:pPr>
            <w:r>
              <w:rPr>
                <w:color w:val="1e293b"/>
                <w:sz w:val="21"/>
              </w:rPr>
              <w:t>The B-BBEE Act governs... not employment relationships</w:t>
            </w:r>
          </w:p>
        </w:tc>
        <w:tc>
          <w:tcPr>
            <w:tcW w:w="2000" w:type="dxa"/>
            <w:vAlign w:val="center"/>
          </w:tcPr>
          <w:p>
            <w:pPr>
              <w:spacing w:before="0" w:after="0"/>
              <w:jc w:val="left"/>
            </w:pPr>
            <w:r>
              <w:rPr>
                <w:color w:val="1e293b"/>
                <w:sz w:val="21"/>
              </w:rPr>
              <w:t>Labour institutions</w:t>
            </w:r>
          </w:p>
        </w:tc>
      </w:tr>
      <w:tr>
        <w:trPr>
          <w:trHeight w:val="360" w:hRule="atLeast"/>
        </w:trPr>
        <w:tc>
          <w:tcPr>
            <w:tcW w:w="6000" w:type="dxa"/>
            <w:vAlign w:val="center"/>
          </w:tcPr>
          <w:p>
            <w:pPr>
              <w:spacing w:before="0" w:after="0"/>
              <w:jc w:val="left"/>
            </w:pPr>
            <w:r>
              <w:rPr>
                <w:color w:val="1e293b"/>
                <w:sz w:val="21"/>
              </w:rPr>
              <w:t>The Act does not regulate remuneration disputes, CCMA disputes, unfair discrimination</w:t>
            </w:r>
          </w:p>
        </w:tc>
        <w:tc>
          <w:tcPr>
            <w:tcW w:w="2000" w:type="dxa"/>
            <w:vAlign w:val="center"/>
          </w:tcPr>
          <w:p>
            <w:pPr>
              <w:spacing w:before="0" w:after="0"/>
              <w:jc w:val="left"/>
            </w:pPr>
            <w:r>
              <w:rPr>
                <w:color w:val="1e293b"/>
                <w:sz w:val="21"/>
              </w:rPr>
              <w:t>CCMA, DEL, Equality Court</w:t>
            </w:r>
          </w:p>
        </w:tc>
      </w:tr>
      <w:tr>
        <w:trPr>
          <w:trHeight w:val="360" w:hRule="atLeast"/>
        </w:trPr>
        <w:tc>
          <w:tcPr>
            <w:tcW w:w="6000" w:type="dxa"/>
            <w:vAlign w:val="center"/>
          </w:tcPr>
          <w:p>
            <w:pPr>
              <w:spacing w:before="0" w:after="0"/>
              <w:jc w:val="left"/>
            </w:pPr>
            <w:r>
              <w:rPr>
                <w:color w:val="1e293b"/>
                <w:sz w:val="21"/>
              </w:rPr>
              <w:t>Remedies requested fall outside the powers of the B-BBEE Commission</w:t>
            </w:r>
          </w:p>
        </w:tc>
        <w:tc>
          <w:tcPr>
            <w:tcW w:w="2000" w:type="dxa"/>
            <w:vAlign w:val="center"/>
          </w:tcPr>
          <w:p>
            <w:pPr>
              <w:spacing w:before="0" w:after="0"/>
              <w:jc w:val="left"/>
            </w:pPr>
            <w:r>
              <w:rPr>
                <w:color w:val="1e293b"/>
                <w:sz w:val="21"/>
              </w:rPr>
              <w:t>Labour Court, CCMA</w:t>
            </w:r>
          </w:p>
        </w:tc>
      </w:tr>
    </w:tbl>
    <w:p>
      <w:r>
        <w:rPr>
          <w:b/>
        </w:rPr>
        <w:t>Forensic Finding:</w:t>
      </w:r>
    </w:p>
    <w:p>
      <w:r>
        <w:t>The B-BBEE Commission did not say the allegations are false. They said: "We are not the right place; go to these other places." This is express jurisdictional buck-passing. While legally permissible if the Commission correctly interpreted its mandate, they ignored the fronting-specific evidence that does fall within their jurisdiction.</w:t>
      </w:r>
    </w:p>
    <w:p>
      <w:r>
        <w:t>Regulatory Failure: The Commission failed to sever the fronting component from the labour components, rejecting the entire complaint instead of investigating the fronting allegations and referring the labour components to appropriate forums.</w:t>
      </w:r>
    </w:p>
    <w:p>
      <w:pPr>
        <w:pStyle w:val="Heading2"/>
      </w:pPr>
      <w:r>
        <w:t>B. Documentary Evidence the Commission Ignored</w:t>
      </w:r>
    </w:p>
    <w:tbl>
      <w:tblPr>
        <w:tblW w:w="5000" w:type="pct"/>
        <w:tblBorders>
          <w:top w:val="single" w:color="1a365d" w:sz="8"/>
          <w:left w:val="nil"/>
          <w:bottom w:val="single" w:color="1a365d" w:sz="8"/>
          <w:right w:val="nil"/>
          <w:insideH w:val="single" w:color="cbd5e1" w:sz="4"/>
          <w:insideV w:val="nil"/>
        </w:tblBorders>
        <w:tblCellMar>
          <w:top w:w="100" w:type="dxa"/>
          <w:left w:w="150" w:type="dxa"/>
          <w:bottom w:w="100" w:type="dxa"/>
          <w:right w:w="150" w:type="dxa"/>
        </w:tblCellMar>
      </w:tblPr>
      <w:tblGrid>
        <w:gridCol w:w="2600"/>
        <w:gridCol w:w="2600"/>
        <w:gridCol w:w="2800"/>
      </w:tblGrid>
      <w:tr>
        <w:trPr>
          <w:tblHeader/>
          <w:trHeight w:val="400" w:hRule="atLeast"/>
        </w:trPr>
        <w:tc>
          <w:tcPr>
            <w:tcW w:w="2600" w:type="dxa"/>
            <w:tcBorders>
              <w:bottom w:val="single" w:color="1a365d" w:sz="6"/>
            </w:tcBorders>
            <w:shd w:val="clear" w:fill="f1f5f9"/>
            <w:vAlign w:val="center"/>
          </w:tcPr>
          <w:p>
            <w:pPr>
              <w:spacing w:before="0" w:after="0"/>
              <w:jc w:val="left"/>
            </w:pPr>
            <w:r>
              <w:rPr>
                <w:b/>
                <w:color w:val="1a365d"/>
                <w:sz w:val="22"/>
              </w:rPr>
              <w:t>Evidence Provided</w:t>
            </w:r>
          </w:p>
        </w:tc>
        <w:tc>
          <w:tcPr>
            <w:tcW w:w="2600" w:type="dxa"/>
            <w:tcBorders>
              <w:bottom w:val="single" w:color="1a365d" w:sz="6"/>
            </w:tcBorders>
            <w:shd w:val="clear" w:fill="f1f5f9"/>
            <w:vAlign w:val="center"/>
          </w:tcPr>
          <w:p>
            <w:pPr>
              <w:spacing w:before="0" w:after="0"/>
              <w:jc w:val="left"/>
            </w:pPr>
            <w:r>
              <w:rPr>
                <w:b/>
                <w:color w:val="1a365d"/>
                <w:sz w:val="22"/>
              </w:rPr>
              <w:t>Commission's Duty</w:t>
            </w:r>
          </w:p>
        </w:tc>
        <w:tc>
          <w:tcPr>
            <w:tcW w:w="2800" w:type="dxa"/>
            <w:tcBorders>
              <w:bottom w:val="single" w:color="1a365d" w:sz="6"/>
            </w:tcBorders>
            <w:shd w:val="clear" w:fill="f1f5f9"/>
            <w:vAlign w:val="center"/>
          </w:tcPr>
          <w:p>
            <w:pPr>
              <w:spacing w:before="0" w:after="0"/>
              <w:jc w:val="left"/>
            </w:pPr>
            <w:r>
              <w:rPr>
                <w:b/>
                <w:color w:val="1a365d"/>
                <w:sz w:val="22"/>
              </w:rPr>
              <w:t>Failure Type</w:t>
            </w:r>
          </w:p>
        </w:tc>
      </w:tr>
      <w:tr>
        <w:trPr>
          <w:trHeight w:val="360" w:hRule="atLeast"/>
        </w:trPr>
        <w:tc>
          <w:tcPr>
            <w:tcW w:w="2600" w:type="dxa"/>
            <w:vAlign w:val="center"/>
          </w:tcPr>
          <w:p>
            <w:pPr>
              <w:spacing w:before="0" w:after="0"/>
              <w:jc w:val="left"/>
            </w:pPr>
            <w:r>
              <w:rPr>
                <w:color w:val="1e293b"/>
                <w:sz w:val="21"/>
              </w:rPr>
              <w:t>Naming Convention meeting - instruction to use "Case Manager"</w:t>
            </w:r>
          </w:p>
        </w:tc>
        <w:tc>
          <w:tcPr>
            <w:tcW w:w="2600" w:type="dxa"/>
            <w:vAlign w:val="center"/>
          </w:tcPr>
          <w:p>
            <w:pPr>
              <w:spacing w:before="0" w:after="0"/>
              <w:jc w:val="left"/>
            </w:pPr>
            <w:r>
              <w:rPr>
                <w:color w:val="1e293b"/>
                <w:sz w:val="21"/>
              </w:rPr>
              <w:t>Assess whether this shows Respondent held complainant as management for B-BBEE</w:t>
            </w:r>
          </w:p>
        </w:tc>
        <w:tc>
          <w:tcPr>
            <w:tcW w:w="2800" w:type="dxa"/>
            <w:vAlign w:val="center"/>
          </w:tcPr>
          <w:p>
            <w:pPr>
              <w:spacing w:before="0" w:after="0"/>
              <w:jc w:val="left"/>
            </w:pPr>
            <w:r>
              <w:rPr>
                <w:color w:val="1e293b"/>
                <w:sz w:val="21"/>
              </w:rPr>
              <w:t>Failure to properly assess evidence</w:t>
            </w:r>
          </w:p>
        </w:tc>
      </w:tr>
      <w:tr>
        <w:trPr>
          <w:trHeight w:val="360" w:hRule="atLeast"/>
        </w:trPr>
        <w:tc>
          <w:tcPr>
            <w:tcW w:w="2600" w:type="dxa"/>
            <w:vAlign w:val="center"/>
          </w:tcPr>
          <w:p>
            <w:pPr>
              <w:spacing w:before="0" w:after="0"/>
              <w:jc w:val="left"/>
            </w:pPr>
            <w:r>
              <w:rPr>
                <w:color w:val="1e293b"/>
                <w:sz w:val="21"/>
              </w:rPr>
              <w:t>Cheryl-Dawn email: naming convention "not applied to your department"</w:t>
            </w:r>
          </w:p>
        </w:tc>
        <w:tc>
          <w:tcPr>
            <w:tcW w:w="2600" w:type="dxa"/>
            <w:vAlign w:val="center"/>
          </w:tcPr>
          <w:p>
            <w:pPr>
              <w:spacing w:before="0" w:after="0"/>
              <w:jc w:val="left"/>
            </w:pPr>
            <w:r>
              <w:rPr>
                <w:color w:val="1e293b"/>
                <w:sz w:val="21"/>
              </w:rPr>
              <w:t>Recognise as deliberate exclusion - fronting indicator</w:t>
            </w:r>
          </w:p>
        </w:tc>
        <w:tc>
          <w:tcPr>
            <w:tcW w:w="2800" w:type="dxa"/>
            <w:vAlign w:val="center"/>
          </w:tcPr>
          <w:p>
            <w:pPr>
              <w:spacing w:before="0" w:after="0"/>
              <w:jc w:val="left"/>
            </w:pPr>
            <w:r>
              <w:rPr>
                <w:color w:val="1e293b"/>
                <w:sz w:val="21"/>
              </w:rPr>
              <w:t>Failure to consider material evidence</w:t>
            </w:r>
          </w:p>
        </w:tc>
      </w:tr>
      <w:tr>
        <w:trPr>
          <w:trHeight w:val="360" w:hRule="atLeast"/>
        </w:trPr>
        <w:tc>
          <w:tcPr>
            <w:tcW w:w="2600" w:type="dxa"/>
            <w:vAlign w:val="center"/>
          </w:tcPr>
          <w:p>
            <w:pPr>
              <w:spacing w:before="0" w:after="0"/>
              <w:jc w:val="left"/>
            </w:pPr>
            <w:r>
              <w:rPr>
                <w:color w:val="1e293b"/>
                <w:sz w:val="21"/>
              </w:rPr>
              <w:t>Certificate of Service vs email signature "Case Manager"</w:t>
            </w:r>
          </w:p>
        </w:tc>
        <w:tc>
          <w:tcPr>
            <w:tcW w:w="2600" w:type="dxa"/>
            <w:vAlign w:val="center"/>
          </w:tcPr>
          <w:p>
            <w:pPr>
              <w:spacing w:before="0" w:after="0"/>
              <w:jc w:val="left"/>
            </w:pPr>
            <w:r>
              <w:rPr>
                <w:color w:val="1e293b"/>
                <w:sz w:val="21"/>
              </w:rPr>
              <w:t>Consider misrepresentation under Section 13J(5)</w:t>
            </w:r>
          </w:p>
        </w:tc>
        <w:tc>
          <w:tcPr>
            <w:tcW w:w="2800" w:type="dxa"/>
            <w:vAlign w:val="center"/>
          </w:tcPr>
          <w:p>
            <w:pPr>
              <w:spacing w:before="0" w:after="0"/>
              <w:jc w:val="left"/>
            </w:pPr>
            <w:r>
              <w:rPr>
                <w:color w:val="1e293b"/>
                <w:sz w:val="21"/>
              </w:rPr>
              <w:t>Failure to consider</w:t>
            </w:r>
          </w:p>
        </w:tc>
      </w:tr>
      <w:tr>
        <w:trPr>
          <w:trHeight w:val="360" w:hRule="atLeast"/>
        </w:trPr>
        <w:tc>
          <w:tcPr>
            <w:tcW w:w="2600" w:type="dxa"/>
            <w:vAlign w:val="center"/>
          </w:tcPr>
          <w:p>
            <w:pPr>
              <w:spacing w:before="0" w:after="0"/>
              <w:jc w:val="left"/>
            </w:pPr>
            <w:r>
              <w:rPr>
                <w:color w:val="1e293b"/>
                <w:sz w:val="21"/>
              </w:rPr>
              <w:t>July 2025 roster - management of 13+ staff</w:t>
            </w:r>
          </w:p>
        </w:tc>
        <w:tc>
          <w:tcPr>
            <w:tcW w:w="2600" w:type="dxa"/>
            <w:vAlign w:val="center"/>
          </w:tcPr>
          <w:p>
            <w:pPr>
              <w:spacing w:before="0" w:after="0"/>
              <w:jc w:val="left"/>
            </w:pPr>
            <w:r>
              <w:rPr>
                <w:color w:val="1e293b"/>
                <w:sz w:val="21"/>
              </w:rPr>
              <w:t>Recognise as management control under B-BBEE Codes</w:t>
            </w:r>
          </w:p>
        </w:tc>
        <w:tc>
          <w:tcPr>
            <w:tcW w:w="2800" w:type="dxa"/>
            <w:vAlign w:val="center"/>
          </w:tcPr>
          <w:p>
            <w:pPr>
              <w:spacing w:before="0" w:after="0"/>
              <w:jc w:val="left"/>
            </w:pPr>
            <w:r>
              <w:rPr>
                <w:color w:val="1e293b"/>
                <w:sz w:val="21"/>
              </w:rPr>
              <w:t>Overly narrow interpretation</w:t>
            </w:r>
          </w:p>
        </w:tc>
      </w:tr>
      <w:tr>
        <w:trPr>
          <w:trHeight w:val="360" w:hRule="atLeast"/>
        </w:trPr>
        <w:tc>
          <w:tcPr>
            <w:tcW w:w="2600" w:type="dxa"/>
            <w:vAlign w:val="center"/>
          </w:tcPr>
          <w:p>
            <w:pPr>
              <w:spacing w:before="0" w:after="0"/>
              <w:jc w:val="left"/>
            </w:pPr>
            <w:r>
              <w:rPr>
                <w:color w:val="1e293b"/>
                <w:sz w:val="21"/>
              </w:rPr>
              <w:t>Request to subpoena Naming Convention recording</w:t>
            </w:r>
          </w:p>
        </w:tc>
        <w:tc>
          <w:tcPr>
            <w:tcW w:w="2600" w:type="dxa"/>
            <w:vAlign w:val="center"/>
          </w:tcPr>
          <w:p>
            <w:pPr>
              <w:spacing w:before="0" w:after="0"/>
              <w:jc w:val="left"/>
            </w:pPr>
            <w:r>
              <w:rPr>
                <w:color w:val="1e293b"/>
                <w:sz w:val="21"/>
              </w:rPr>
              <w:t>Exercise power under Section 13K</w:t>
            </w:r>
          </w:p>
        </w:tc>
        <w:tc>
          <w:tcPr>
            <w:tcW w:w="2800" w:type="dxa"/>
            <w:vAlign w:val="center"/>
          </w:tcPr>
          <w:p>
            <w:pPr>
              <w:spacing w:before="0" w:after="0"/>
              <w:jc w:val="left"/>
            </w:pPr>
            <w:r>
              <w:rPr>
                <w:color w:val="1e293b"/>
                <w:sz w:val="21"/>
              </w:rPr>
              <w:t>Failure to use statutory power</w:t>
            </w:r>
          </w:p>
        </w:tc>
      </w:tr>
      <w:tr>
        <w:trPr>
          <w:trHeight w:val="360" w:hRule="atLeast"/>
        </w:trPr>
        <w:tc>
          <w:tcPr>
            <w:tcW w:w="2600" w:type="dxa"/>
            <w:vAlign w:val="center"/>
          </w:tcPr>
          <w:p>
            <w:pPr>
              <w:spacing w:before="0" w:after="0"/>
              <w:jc w:val="left"/>
            </w:pPr>
            <w:r>
              <w:rPr>
                <w:color w:val="1e293b"/>
                <w:sz w:val="21"/>
              </w:rPr>
              <w:t>Request to refer false UIF evidence to DEL</w:t>
            </w:r>
          </w:p>
        </w:tc>
        <w:tc>
          <w:tcPr>
            <w:tcW w:w="2600" w:type="dxa"/>
            <w:vAlign w:val="center"/>
          </w:tcPr>
          <w:p>
            <w:pPr>
              <w:spacing w:before="0" w:after="0"/>
              <w:jc w:val="left"/>
            </w:pPr>
            <w:r>
              <w:rPr>
                <w:color w:val="1e293b"/>
                <w:sz w:val="21"/>
              </w:rPr>
              <w:t>Exercise power under Form B-BBEE 13</w:t>
            </w:r>
          </w:p>
        </w:tc>
        <w:tc>
          <w:tcPr>
            <w:tcW w:w="2800" w:type="dxa"/>
            <w:vAlign w:val="center"/>
          </w:tcPr>
          <w:p>
            <w:pPr>
              <w:spacing w:before="0" w:after="0"/>
              <w:jc w:val="left"/>
            </w:pPr>
            <w:r>
              <w:rPr>
                <w:color w:val="1e293b"/>
                <w:sz w:val="21"/>
              </w:rPr>
              <w:t>Failure to use statutory power</w:t>
            </w:r>
          </w:p>
        </w:tc>
      </w:tr>
    </w:tbl>
    <w:p>
      <w:r>
        <w:br w:type="page"/>
      </w:r>
    </w:p>
    <w:p>
      <w:pPr>
        <w:pStyle w:val="Heading2"/>
      </w:pPr>
      <w:r>
        <w:t>C. Regulatory Failure Conclusions</w:t>
      </w:r>
    </w:p>
    <w:p>
      <w:r>
        <w:rPr>
          <w:b/>
        </w:rPr>
        <w:t>Failure Type 1: Failure to Properly Assess Evidence (PAJA Ground)</w:t>
      </w:r>
    </w:p>
    <w:p>
      <w:r>
        <w:t>The Commission ignored or minimised documentary evidence that directly supports a fronting finding under Section 1(c) of the Act. Legal consequence: This makes the decision reviewable under PAJA Section 6(2)(e)(iii) - failure to take relevant facts into consideration.</w:t>
      </w:r>
    </w:p>
    <w:p>
      <w:r>
        <w:rPr>
          <w:b/>
        </w:rPr>
        <w:t>Failure Type 2: Failure to Use Statutory Powers (Section 13K)</w:t>
      </w:r>
    </w:p>
    <w:p>
      <w:r>
        <w:t>The Commission has mandatory powers under Section 13K to issue summons for documents. The complainant specifically requested subpoenas for the Naming Convention Teams recording and the Respondent's 2024/2025 B-BBEE certificate. The Commission refused without legal basis, creating a procedural catch-22.</w:t>
      </w:r>
    </w:p>
    <w:p>
      <w:r>
        <w:rPr>
          <w:b/>
        </w:rPr>
        <w:t>Failure Type 3: Jurisdictional Buck-Passing Without Severance</w:t>
      </w:r>
    </w:p>
    <w:p>
      <w:r>
        <w:t>The Commission correctly noted that some allegations are outside their mandate. However, they failed to sever those from the fronting allegations that are within their mandate. The proper approach would have been to investigate the fronting component and refer the labour components to appropriate forums using Form B-BBEE 13.</w:t>
      </w:r>
    </w:p>
    <w:p>
      <w:r>
        <w:br w:type="page"/>
      </w:r>
    </w:p>
    <w:p>
      <w:pPr>
        <w:pStyle w:val="Heading1"/>
      </w:pPr>
      <w:bookmarkStart w:name="_Toc006" w:id="006"/>
      <w:r>
        <w:t>Part 5: Final Forensic Summary &amp; Recommendations</w:t>
      </w:r>
      <w:bookmarkEnd w:id="006"/>
    </w:p>
    <w:p>
      <w:r>
        <w:rPr>
          <w:b/>
        </w:rPr>
        <w:t>Table 4: Summary of Forensic Findings</w:t>
      </w:r>
    </w:p>
    <w:tbl>
      <w:tblPr>
        <w:tblW w:w="5000" w:type="pct"/>
        <w:tblBorders>
          <w:top w:val="single" w:color="1a365d" w:sz="8"/>
          <w:left w:val="nil"/>
          <w:bottom w:val="single" w:color="1a365d" w:sz="8"/>
          <w:right w:val="nil"/>
          <w:insideH w:val="single" w:color="cbd5e1" w:sz="4"/>
          <w:insideV w:val="nil"/>
        </w:tblBorders>
        <w:tblCellMar>
          <w:top w:w="100" w:type="dxa"/>
          <w:left w:w="150" w:type="dxa"/>
          <w:bottom w:w="100" w:type="dxa"/>
          <w:right w:w="150" w:type="dxa"/>
        </w:tblCellMar>
      </w:tblPr>
      <w:tblGrid>
        <w:gridCol w:w="4000"/>
        <w:gridCol w:w="4000"/>
      </w:tblGrid>
      <w:tr>
        <w:trPr>
          <w:tblHeader/>
          <w:trHeight w:val="400" w:hRule="atLeast"/>
        </w:trPr>
        <w:tc>
          <w:tcPr>
            <w:tcW w:w="4000" w:type="dxa"/>
            <w:tcBorders>
              <w:bottom w:val="single" w:color="1a365d" w:sz="6"/>
            </w:tcBorders>
            <w:shd w:val="clear" w:fill="f1f5f9"/>
            <w:vAlign w:val="center"/>
          </w:tcPr>
          <w:p>
            <w:pPr>
              <w:spacing w:before="0" w:after="0"/>
              <w:jc w:val="left"/>
            </w:pPr>
            <w:r>
              <w:rPr>
                <w:b/>
                <w:color w:val="1a365d"/>
                <w:sz w:val="22"/>
              </w:rPr>
              <w:t>Area</w:t>
            </w:r>
          </w:p>
        </w:tc>
        <w:tc>
          <w:tcPr>
            <w:tcW w:w="4000" w:type="dxa"/>
            <w:tcBorders>
              <w:bottom w:val="single" w:color="1a365d" w:sz="6"/>
            </w:tcBorders>
            <w:shd w:val="clear" w:fill="f1f5f9"/>
            <w:vAlign w:val="center"/>
          </w:tcPr>
          <w:p>
            <w:pPr>
              <w:spacing w:before="0" w:after="0"/>
              <w:jc w:val="left"/>
            </w:pPr>
            <w:r>
              <w:rPr>
                <w:b/>
                <w:color w:val="1a365d"/>
                <w:sz w:val="22"/>
              </w:rPr>
              <w:t>Finding</w:t>
            </w:r>
          </w:p>
        </w:tc>
      </w:tr>
      <w:tr>
        <w:trPr>
          <w:trHeight w:val="360" w:hRule="atLeast"/>
        </w:trPr>
        <w:tc>
          <w:tcPr>
            <w:tcW w:w="4000" w:type="dxa"/>
            <w:vAlign w:val="center"/>
          </w:tcPr>
          <w:p>
            <w:pPr>
              <w:spacing w:before="0" w:after="0"/>
              <w:jc w:val="left"/>
            </w:pPr>
            <w:r>
              <w:rPr>
                <w:color w:val="1e293b"/>
                <w:sz w:val="21"/>
              </w:rPr>
              <w:t>Fronting (Section 1(c) B-BBEE Act)</w:t>
            </w:r>
          </w:p>
        </w:tc>
        <w:tc>
          <w:tcPr>
            <w:tcW w:w="4000" w:type="dxa"/>
            <w:vAlign w:val="center"/>
          </w:tcPr>
          <w:p>
            <w:pPr>
              <w:spacing w:before="0" w:after="0"/>
              <w:jc w:val="left"/>
            </w:pPr>
            <w:r>
              <w:rPr>
                <w:color w:val="1e293b"/>
                <w:sz w:val="21"/>
              </w:rPr>
              <w:t>Prima facie established on documents</w:t>
            </w:r>
          </w:p>
        </w:tc>
      </w:tr>
      <w:tr>
        <w:trPr>
          <w:trHeight w:val="360" w:hRule="atLeast"/>
        </w:trPr>
        <w:tc>
          <w:tcPr>
            <w:tcW w:w="4000" w:type="dxa"/>
            <w:vAlign w:val="center"/>
          </w:tcPr>
          <w:p>
            <w:pPr>
              <w:spacing w:before="0" w:after="0"/>
              <w:jc w:val="left"/>
            </w:pPr>
            <w:r>
              <w:rPr>
                <w:color w:val="1e293b"/>
                <w:sz w:val="21"/>
              </w:rPr>
              <w:t>Misrepresentation of B-BBEE status</w:t>
            </w:r>
          </w:p>
        </w:tc>
        <w:tc>
          <w:tcPr>
            <w:tcW w:w="4000" w:type="dxa"/>
            <w:vAlign w:val="center"/>
          </w:tcPr>
          <w:p>
            <w:pPr>
              <w:spacing w:before="0" w:after="0"/>
              <w:jc w:val="left"/>
            </w:pPr>
            <w:r>
              <w:rPr>
                <w:color w:val="1e293b"/>
                <w:sz w:val="21"/>
              </w:rPr>
              <w:t>Prima facie established (Certificate of Service)</w:t>
            </w:r>
          </w:p>
        </w:tc>
      </w:tr>
      <w:tr>
        <w:trPr>
          <w:trHeight w:val="360" w:hRule="atLeast"/>
        </w:trPr>
        <w:tc>
          <w:tcPr>
            <w:tcW w:w="4000" w:type="dxa"/>
            <w:vAlign w:val="center"/>
          </w:tcPr>
          <w:p>
            <w:pPr>
              <w:spacing w:before="0" w:after="0"/>
              <w:jc w:val="left"/>
            </w:pPr>
            <w:r>
              <w:rPr>
                <w:color w:val="1e293b"/>
                <w:sz w:val="21"/>
              </w:rPr>
              <w:t>Withholding of evidence</w:t>
            </w:r>
          </w:p>
        </w:tc>
        <w:tc>
          <w:tcPr>
            <w:tcW w:w="4000" w:type="dxa"/>
            <w:vAlign w:val="center"/>
          </w:tcPr>
          <w:p>
            <w:pPr>
              <w:spacing w:before="0" w:after="0"/>
              <w:jc w:val="left"/>
            </w:pPr>
            <w:r>
              <w:rPr>
                <w:color w:val="1e293b"/>
                <w:sz w:val="21"/>
              </w:rPr>
              <w:t>Respondent refused to produce Naming Convention recording</w:t>
            </w:r>
          </w:p>
        </w:tc>
      </w:tr>
      <w:tr>
        <w:trPr>
          <w:trHeight w:val="360" w:hRule="atLeast"/>
        </w:trPr>
        <w:tc>
          <w:tcPr>
            <w:tcW w:w="4000" w:type="dxa"/>
            <w:vAlign w:val="center"/>
          </w:tcPr>
          <w:p>
            <w:pPr>
              <w:spacing w:before="0" w:after="0"/>
              <w:jc w:val="left"/>
            </w:pPr>
            <w:r>
              <w:rPr>
                <w:color w:val="1e293b"/>
                <w:sz w:val="21"/>
              </w:rPr>
              <w:t>Commission's handling</w:t>
            </w:r>
          </w:p>
        </w:tc>
        <w:tc>
          <w:tcPr>
            <w:tcW w:w="4000" w:type="dxa"/>
            <w:vAlign w:val="center"/>
          </w:tcPr>
          <w:p>
            <w:pPr>
              <w:spacing w:before="0" w:after="0"/>
              <w:jc w:val="left"/>
            </w:pPr>
            <w:r>
              <w:rPr>
                <w:color w:val="1e293b"/>
                <w:sz w:val="21"/>
              </w:rPr>
              <w:t>Failed to use subpoena power; ignored key evidence</w:t>
            </w:r>
          </w:p>
        </w:tc>
      </w:tr>
      <w:tr>
        <w:trPr>
          <w:trHeight w:val="360" w:hRule="atLeast"/>
        </w:trPr>
        <w:tc>
          <w:tcPr>
            <w:tcW w:w="4000" w:type="dxa"/>
            <w:vAlign w:val="center"/>
          </w:tcPr>
          <w:p>
            <w:pPr>
              <w:spacing w:before="0" w:after="0"/>
              <w:jc w:val="left"/>
            </w:pPr>
            <w:r>
              <w:rPr>
                <w:color w:val="1e293b"/>
                <w:sz w:val="21"/>
              </w:rPr>
              <w:t>Psychosocial risk</w:t>
            </w:r>
          </w:p>
        </w:tc>
        <w:tc>
          <w:tcPr>
            <w:tcW w:w="4000" w:type="dxa"/>
            <w:vAlign w:val="center"/>
          </w:tcPr>
          <w:p>
            <w:pPr>
              <w:spacing w:before="0" w:after="0"/>
              <w:jc w:val="left"/>
            </w:pPr>
            <w:r>
              <w:rPr>
                <w:color w:val="1e293b"/>
                <w:sz w:val="21"/>
              </w:rPr>
              <w:t>High - institutional conduct created occupational detriment</w:t>
            </w:r>
          </w:p>
        </w:tc>
      </w:tr>
      <w:tr>
        <w:trPr>
          <w:trHeight w:val="360" w:hRule="atLeast"/>
        </w:trPr>
        <w:tc>
          <w:tcPr>
            <w:tcW w:w="4000" w:type="dxa"/>
            <w:vAlign w:val="center"/>
          </w:tcPr>
          <w:p>
            <w:pPr>
              <w:spacing w:before="0" w:after="0"/>
              <w:jc w:val="left"/>
            </w:pPr>
            <w:r>
              <w:rPr>
                <w:color w:val="1e293b"/>
                <w:sz w:val="21"/>
              </w:rPr>
              <w:t>Review prospects</w:t>
            </w:r>
          </w:p>
        </w:tc>
        <w:tc>
          <w:tcPr>
            <w:tcW w:w="4000" w:type="dxa"/>
            <w:vAlign w:val="center"/>
          </w:tcPr>
          <w:p>
            <w:pPr>
              <w:spacing w:before="0" w:after="0"/>
              <w:jc w:val="left"/>
            </w:pPr>
            <w:r>
              <w:rPr>
                <w:color w:val="1e293b"/>
                <w:sz w:val="21"/>
              </w:rPr>
              <w:t>Reasonable under PAJA Section 6(2)(e)(iii)</w:t>
            </w:r>
          </w:p>
        </w:tc>
      </w:tr>
    </w:tbl>
    <w:p>
      <w:pPr>
        <w:pStyle w:val="Heading2"/>
      </w:pPr>
      <w:r>
        <w:t>Recommendations</w:t>
      </w:r>
    </w:p>
    <w:p>
      <w:r>
        <w:rPr>
          <w:b/>
        </w:rPr>
        <w:t>1. PAJA Review Application (High Court)</w:t>
      </w:r>
    </w:p>
    <w:p>
      <w:r>
        <w:t>Challenge the B-BBEE Commission's decision on grounds that they: (a) Failed to consider relevant evidence; (b) Failed to use statutory powers (subpoena, referral); and (c) Made an irrational decision by rejecting the whole complaint instead of severing fronting from labour issues.</w:t>
      </w:r>
    </w:p>
    <w:p>
      <w:r>
        <w:rPr>
          <w:b/>
        </w:rPr>
        <w:t>2. Complaint to the Public Protector</w:t>
      </w:r>
    </w:p>
    <w:p>
      <w:r>
        <w:t>The Public Protector can investigate systemic regulatory failure where multiple bodies pass the buck and leave a complainant with no effective remedy. This case presents a textbook example of such failure.</w:t>
      </w:r>
    </w:p>
    <w:p>
      <w:r>
        <w:rPr>
          <w:b/>
        </w:rPr>
        <w:t>3. Parliamentary Petition</w:t>
      </w:r>
    </w:p>
    <w:p>
      <w:r>
        <w:t>Petition the Portfolio Committee on Trade, Industry and Competition regarding the B-BBEE Commission's narrow interpretation of fronting and refusal to use subpoena powers under Section 13K.</w:t>
      </w:r>
    </w:p>
    <w:p>
      <w:r>
        <w:rPr>
          <w:b/>
        </w:rPr>
        <w:t>4. Labour Court Proceedings</w:t>
      </w:r>
    </w:p>
    <w:p>
      <w:r>
        <w:t>Continue with the Labour Court action for constructive dismissal, unfair labour practices, and BCEA violations. While the Labour Court cannot make a formal fronting finding, the evidence can be used to establish the context of the employer's conduct.</w:t>
      </w:r>
    </w:p>
    <w:p>
      <w:pPr>
        <w:spacing w:before="400"/>
      </w:pPr>
      <w:r>
        <w:rPr>
          <w:b/>
          <w:color w:val="722f37"/>
        </w:rPr>
        <w:t>This report is prepared in accordance with forensic investigation standards and is subject to legal professional privilege.</w:t>
      </w:r>
    </w:p>
    <w:p>
      <w:pPr>
        <w:sectPr>
          <w:headerReference w:type="default" r:id="R155f0ffc1992421e"/>
          <w:footerReference w:type="default" r:id="R04ad5dfb3c2244d3"/>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coverBackground"/>
            <wp:cNvGraphicFramePr>
              <a:graphicFrameLocks noChangeAspect="1"/>
            </wp:cNvGraphicFramePr>
            <a:graphic>
              <a:graphicData uri="http://schemas.openxmlformats.org/drawingml/2006/picture">
                <pic:pic>
                  <pic:nvPicPr>
                    <pic:cNvPr id="0" name="BackcoverBackground.png"/>
                    <pic:cNvPicPr/>
                  </pic:nvPicPr>
                  <pic:blipFill>
                    <a:blip r:embed="R70da9c7dc6e24f5b"/>
                    <a:stretch>
                      <a:fillRect/>
                    </a:stretch>
                  </pic:blipFill>
                  <pic:spPr>
                    <a:xfrm>
                      <a:off x="0" y="0"/>
                      <a:ext cx="7560000" cy="10692000"/>
                    </a:xfrm>
                    <a:prstGeom prst="rect"/>
                  </pic:spPr>
                </pic:pic>
              </a:graphicData>
            </a:graphic>
          </wp:anchor>
        </w:drawing>
      </w:r>
    </w:p>
    <w:p>
      <w:pPr>
        <w:spacing w:before="7000"/>
      </w:pPr>
      <w:r/>
    </w:p>
    <w:p>
      <w:pPr>
        <w:spacing w:after="200"/>
        <w:jc w:val="center"/>
      </w:pPr>
      <w:r>
        <w:rPr>
          <w:b/>
          <w:color w:val="1a365d"/>
          <w:sz w:val="48"/>
        </w:rPr>
        <w:t>ETHICHAWKS</w:t>
      </w:r>
    </w:p>
    <w:p>
      <w:pPr>
        <w:spacing w:after="400"/>
        <w:jc w:val="center"/>
      </w:pPr>
      <w:r>
        <w:rPr>
          <w:color w:val="b8860b"/>
          <w:spacing w:val="40"/>
          <w:sz w:val="22"/>
        </w:rPr>
        <w:t>FORENSIC &amp; COMPLIANCE SPECIALISTS</w:t>
      </w:r>
    </w:p>
    <w:p>
      <w:pPr>
        <w:spacing w:after="120"/>
        <w:jc w:val="center"/>
      </w:pPr>
      <w:r>
        <w:rPr>
          <w:color w:val="64748b"/>
          <w:sz w:val="20"/>
        </w:rPr>
        <w:t>B-BBEE Compliance | Forensic Investigations | Governance Advisory</w:t>
      </w:r>
    </w:p>
    <w:p>
      <w:pPr>
        <w:spacing w:after="600"/>
        <w:jc w:val="center"/>
      </w:pPr>
      <w:r>
        <w:rPr>
          <w:color w:val="94a3b8"/>
          <w:sz w:val="18"/>
        </w:rPr>
        <w:t>info@ethichawks.co.za  |  www.ethichawks.co.za</w:t>
      </w:r>
    </w:p>
    <w:p>
      <w:pPr>
        <w:jc w:val="center"/>
      </w:pPr>
      <w:r>
        <w:rPr>
          <w:color w:val="94a3b8"/>
          <w:sz w:val="16"/>
        </w:rPr>
        <w:t>© 2026 EthicHawks (Pty) Ltd. All rights reserved.</w:t>
      </w:r>
    </w:p>
    <w:sectPr>
      <w:pgSz w:w="11906" w:h="16838"/>
      <w:pgMar w:top="0" w:right="0" w:bottom="0" w:left="0" w:header="0" w:footer="0"/>
    </w:sectPr>
  </w:body>
</w:document>
</file>

<file path=word/footer1.xml><?xml version="1.0" encoding="utf-8"?>
<w:ftr xmlns:w="http://schemas.openxmlformats.org/wordprocessingml/2006/main">
  <w:p>
    <w:pPr>
      <w:jc w:val="center"/>
    </w:pPr>
    <w:r>
      <w:fldChar w:fldCharType="begin"/>
      <w:instrText xml:space="preserve"> PAGE </w:instrText>
      <w:fldChar w:fldCharType="separate"/>
      <w:t>1</w:t>
      <w:fldChar w:fldCharType="end"/>
    </w:r>
    <w:r>
      <w:t xml:space="preserve"> / </w:t>
    </w:r>
    <w:r>
      <w:fldChar w:fldCharType="begin"/>
      <w:instrText xml:space="preserve"> NUMPAGES </w:instrText>
      <w:fldChar w:fldCharType="separate"/>
      <w:t>1</w:t>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ackground"/>
          <wp:cNvGraphicFramePr>
            <a:graphicFrameLocks noChangeAspect="1"/>
          </wp:cNvGraphicFramePr>
          <a:graphic>
            <a:graphicData uri="http://schemas.openxmlformats.org/drawingml/2006/picture">
              <pic:pic>
                <pic:nvPicPr>
                  <pic:cNvPr id="0" name="BodyBackground.png"/>
                  <pic:cNvPicPr/>
                </pic:nvPicPr>
                <pic:blipFill>
                  <a:blip r:embed="R1cd435c015c24c2d"/>
                  <a:stretch>
                    <a:fillRect/>
                  </a:stretch>
                </pic:blipFill>
                <pic:spPr>
                  <a:xfrm>
                    <a:off x="0" y="0"/>
                    <a:ext cx="7560000" cy="10692000"/>
                  </a:xfrm>
                  <a:prstGeom prst="rect"/>
                </pic:spPr>
              </pic:pic>
            </a:graphicData>
          </a:graphic>
        </wp:anchor>
      </w:drawing>
    </w:r>
  </w:p>
  <w:p>
    <w:pPr>
      <w:spacing w:before="0" w:after="0"/>
      <w:jc w:val="right"/>
    </w:pPr>
    <w:r>
      <w:rPr>
        <w:b/>
        <w:color w:val="1a365d"/>
        <w:sz w:val="18"/>
      </w:rPr>
      <w:t>ETHICHAWKS</w:t>
    </w:r>
    <w:r>
      <w:rPr>
        <w:color w:val="b8860b"/>
        <w:sz w:val="18"/>
      </w:rPr>
      <w:t xml:space="preserve">  |  </w:t>
    </w:r>
    <w:r>
      <w:rPr>
        <w:color w:val="64748b"/>
        <w:sz w:val="18"/>
      </w:rPr>
      <w:t>BBBEE Forensic Report</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288" w:lineRule="auto"/>
      <w:jc w:val="both"/>
    </w:pPr>
    <w:rPr>
      <w:rFonts w:ascii="Times New Roman" w:hAnsi="Times New Roman"/>
      <w:color w:val="1e293b"/>
      <w:sz w:val="24"/>
    </w:rPr>
  </w:style>
  <w:style w:type="paragraph" w:styleId="Heading1">
    <w:name w:val="heading 1"/>
    <w:basedOn w:val="Normal"/>
    <w:pPr>
      <w:keepNext/>
      <w:keepLines/>
      <w:spacing w:before="480" w:after="240" w:line="240" w:lineRule="auto"/>
      <w:outlineLvl w:val="0"/>
    </w:pPr>
    <w:rPr>
      <w:b/>
      <w:color w:val="1a365d"/>
      <w:sz w:val="32"/>
    </w:rPr>
  </w:style>
  <w:style w:type="paragraph" w:styleId="Heading2">
    <w:name w:val="heading 2"/>
    <w:basedOn w:val="Normal"/>
    <w:pPr>
      <w:keepNext/>
      <w:keepLines/>
      <w:spacing w:before="360" w:after="160"/>
      <w:outlineLvl w:val="1"/>
    </w:pPr>
    <w:rPr>
      <w:b/>
      <w:color w:val="722f37"/>
      <w:sz w:val="28"/>
    </w:rPr>
  </w:style>
  <w:style w:type="paragraph" w:styleId="Heading3">
    <w:name w:val="heading 3"/>
    <w:basedOn w:val="Normal"/>
    <w:pPr>
      <w:keepNext/>
      <w:keepLines/>
      <w:spacing w:before="280" w:after="120"/>
      <w:outlineLvl w:val="2"/>
    </w:pPr>
    <w:rPr>
      <w:b/>
      <w:color w:val="475569"/>
      <w:sz w:val="24"/>
    </w:rPr>
  </w:style>
  <w:style w:type="paragraph" w:styleId="TOC1">
    <w:name w:val="toc 1"/>
    <w:basedOn w:val="Normal"/>
    <w:pPr>
      <w:tabs>
        <w:tab w:val="right" w:leader="dot" w:pos="9350"/>
      </w:tabs>
      <w:spacing w:before="200" w:after="60"/>
    </w:pPr>
    <w:rPr>
      <w:b/>
      <w:color w:val="1e293b"/>
    </w:rPr>
  </w:style>
  <w:style w:type="paragraph" w:styleId="TOC2">
    <w:name w:val="toc 2"/>
    <w:basedOn w:val="Normal"/>
    <w:pPr>
      <w:tabs>
        <w:tab w:val="right" w:leader="dot" w:pos="9350"/>
      </w:tabs>
      <w:spacing w:before="60" w:after="60"/>
      <w:ind w:left="360"/>
    </w:pPr>
    <w:rPr>
      <w:color w:val="64748b"/>
    </w:rPr>
  </w:style>
</w:styles>
</file>

<file path=word/_rels/document.xml.rels>&#65279;<?xml version="1.0" encoding="utf-8"?><Relationships xmlns="http://schemas.openxmlformats.org/package/2006/relationships"><Relationship Type="http://schemas.openxmlformats.org/officeDocument/2006/relationships/styles" Target="/word/styles.xml" Id="R9e42aec3581c4022" /><Relationship Type="http://schemas.openxmlformats.org/officeDocument/2006/relationships/numbering" Target="/word/numbering.xml" Id="R6378ccbf3f7f4978" /><Relationship Type="http://schemas.openxmlformats.org/officeDocument/2006/relationships/image" Target="/media/image.png" Id="Rcde88f62c6d142b2" /><Relationship Type="http://schemas.openxmlformats.org/officeDocument/2006/relationships/image" Target="/media/image2.png" Id="R65b1bd4428b34702" /><Relationship Type="http://schemas.openxmlformats.org/officeDocument/2006/relationships/image" Target="/media/image3.png" Id="R70da9c7dc6e24f5b" /><Relationship Type="http://schemas.openxmlformats.org/officeDocument/2006/relationships/header" Target="/word/header1.xml" Id="R155f0ffc1992421e" /><Relationship Type="http://schemas.openxmlformats.org/officeDocument/2006/relationships/footer" Target="/word/footer1.xml" Id="R04ad5dfb3c2244d3" /><Relationship Type="http://schemas.openxmlformats.org/officeDocument/2006/relationships/settings" Target="/word/settings.xml" Id="Rc58ff597198c40d2" /></Relationships>
</file>

<file path=word/_rels/header1.xml.rels>&#65279;<?xml version="1.0" encoding="utf-8"?><Relationships xmlns="http://schemas.openxmlformats.org/package/2006/relationships"><Relationship Type="http://schemas.openxmlformats.org/officeDocument/2006/relationships/image" Target="/media/image4.png" Id="R1cd435c015c24c2d" /></Relationships>
</file>