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a79d7ebc10a4bb3" /></Relationships>
</file>

<file path=word/document.xml><?xml version="1.0" encoding="utf-8"?>
<w:document xmlns:r="http://schemas.openxmlformats.org/officeDocument/2006/relationships" xmlns:w="http://schemas.openxmlformats.org/wordprocessingml/2006/main">
  <w:body>
    <w:p>
      <w:pPr>
        <w:jc w:val="right"/>
      </w:pPr>
      <w:r>
        <w:rPr>
          <w:b/>
        </w:rPr>
        <w:t>EthicHawks Forensic Governance Consultancy</w:t>
      </w:r>
      <w:r>
        <w:br/>
      </w:r>
      <w:r>
        <w:t>Cape Town, South Africa</w:t>
      </w:r>
      <w:r>
        <w:br/>
      </w:r>
      <w:r>
        <w:t>info@ethichawks.co.za</w:t>
      </w:r>
    </w:p>
    <w:p>
      <w:pPr>
        <w:spacing w:before="400"/>
      </w:pPr>
    </w:p>
    <w:p>
      <w:r>
        <w:t>12 April 2026</w:t>
      </w:r>
    </w:p>
    <w:p>
      <w:pPr>
        <w:spacing w:before="200"/>
      </w:pPr>
    </w:p>
    <w:p>
      <w:r>
        <w:rPr>
          <w:b/>
        </w:rPr>
        <w:t>TO: </w:t>
      </w:r>
      <w:r>
        <w:t>The Divisional Executive, Issuer Regulation</w:t>
      </w:r>
    </w:p>
    <w:p>
      <w:r>
        <w:t>Johannesburg Stock Exchange (JSE) Limited</w:t>
      </w:r>
    </w:p>
    <w:p>
      <w:r>
        <w:t>One Exchange Square</w:t>
      </w:r>
    </w:p>
    <w:p>
      <w:r>
        <w:t>2 Gwen Lane, Sandton, Johannesburg</w:t>
      </w:r>
    </w:p>
    <w:p>
      <w:pPr>
        <w:spacing w:before="200"/>
      </w:pPr>
    </w:p>
    <w:p>
      <w:r>
        <w:rPr>
          <w:b/>
        </w:rPr>
        <w:t>SUBJECT: </w:t>
      </w:r>
      <w:r>
        <w:rPr>
          <w:b/>
          <w:u w:val="single"/>
        </w:rPr>
        <w:t>FORMAL COMPLAINT - MATERIAL MISREPRESENTATION AND SENS DISCLOSURE FAILURES - AFROCENTRIC INVESTMENT CORPORATION LIMITED (JSE CODE: ACT)</w:t>
      </w:r>
    </w:p>
    <w:p>
      <w:pPr>
        <w:spacing w:before="200"/>
      </w:pPr>
    </w:p>
    <w:p>
      <w:r>
        <w:t>Dear Divisional Executive,</w:t>
      </w:r>
    </w:p>
    <w:p>
      <w:pPr>
        <w:spacing w:before="200"/>
      </w:pPr>
    </w:p>
    <w:p>
      <w:r>
        <w:t>I submit this formal complaint regarding </w:t>
      </w:r>
      <w:r>
        <w:rPr>
          <w:b/>
        </w:rPr>
        <w:t>material misrepresentations and SENS disclosure failures</w:t>
      </w:r>
      <w:r>
        <w:t> by AfroCentric Investment Corporation Limited ("the Company", JSE Code: ACT) in its Integrated Annual Report for the year ended 31 December 2025, approved by the Board on 31 March 2026 and published on 8 April 2026 ("the Report").</w:t>
      </w:r>
    </w:p>
    <w:p>
      <w:pPr>
        <w:spacing w:before="200"/>
      </w:pPr>
    </w:p>
    <w:p>
      <w:r>
        <w:t>I previously submitted a 325-page evidentiary bundle to the JSE Issuer Regulation Division regarding these matters. This complaint provides additional specificity regarding breaches of the </w:t>
      </w:r>
      <w:r>
        <w:rPr>
          <w:b/>
          <w:i/>
        </w:rPr>
        <w:t>JSE Listings Requirements</w:t>
      </w:r>
      <w:r>
        <w:t> and requests formal regulatory intervention.</w:t>
      </w:r>
    </w:p>
    <w:p>
      <w:pPr>
        <w:pStyle w:val="Heading1"/>
      </w:pPr>
      <w:r>
        <w:t>1. COMPLAINANT DETAILS</w:t>
      </w:r>
    </w:p>
    <w:p>
      <w:pPr>
        <w:ind w:left="720" w:hanging="360"/>
      </w:pPr>
      <w:r>
        <w:t xml:space="preserve">•  </w:t>
      </w:r>
      <w:r>
        <w:t>Name: Wilbur William Matthee</w:t>
      </w:r>
    </w:p>
    <w:p>
      <w:pPr>
        <w:ind w:left="720" w:hanging="360"/>
      </w:pPr>
      <w:r>
        <w:t xml:space="preserve">•  </w:t>
      </w:r>
      <w:r>
        <w:t>Capacity: Former Case Manager, GEMS Active Disease Risk Management Unit (Medscheme)</w:t>
      </w:r>
    </w:p>
    <w:p>
      <w:pPr>
        <w:ind w:left="720" w:hanging="360"/>
      </w:pPr>
      <w:r>
        <w:t xml:space="preserve">•  </w:t>
      </w:r>
      <w:r>
        <w:t>Qualifications: Registered Nurse Specialist (SANC No. 15831886), Postgraduate Diploma in Health Services Management (NQF Level 8)</w:t>
      </w:r>
    </w:p>
    <w:p>
      <w:pPr>
        <w:ind w:left="720" w:hanging="360"/>
      </w:pPr>
      <w:r>
        <w:t xml:space="preserve">•  </w:t>
      </w:r>
      <w:r>
        <w:t>Contact: info@ethichawks.co.za | 069 635 1435</w:t>
      </w:r>
    </w:p>
    <w:p>
      <w:pPr>
        <w:ind w:left="720" w:hanging="360"/>
      </w:pPr>
      <w:r>
        <w:t xml:space="preserve">•  </w:t>
      </w:r>
      <w:r>
        <w:t>Status: Self-represented litigant; destitute whistleblower</w:t>
      </w:r>
    </w:p>
    <w:p>
      <w:pPr>
        <w:pStyle w:val="Heading1"/>
      </w:pPr>
      <w:r>
        <w:t>2. ALLEGED BREACHES OF JSE LISTING REQUIREMENTS</w:t>
      </w:r>
    </w:p>
    <w:p>
      <w:pPr>
        <w:pStyle w:val="Heading2"/>
      </w:pPr>
      <w:r>
        <w:t>2.1 Section 3.59(b) - Failure to Disclose Material Litigation</w:t>
      </w:r>
    </w:p>
    <w:p>
      <w:r>
        <w:rPr>
          <w:b/>
        </w:rPr>
        <w:t>The Requirement:</w:t>
      </w:r>
    </w:p>
    <w:p>
      <w:r>
        <w:t>Section 3.59(b) of the JSE Listings Requirements requires listed entities to disclose "material litigation" involving the company or its directors.</w:t>
      </w:r>
    </w:p>
    <w:p>
      <w:r>
        <w:rPr>
          <w:b/>
        </w:rPr>
        <w:t>The Breach:</w:t>
      </w:r>
    </w:p>
    <w:p>
      <w:r>
        <w:t>The Report fails to disclose </w:t>
      </w:r>
      <w:r>
        <w:rPr>
          <w:b/>
        </w:rPr>
        <w:t>Section 162 Director Delinquency proceedings</w:t>
      </w:r>
      <w:r>
        <w:t> filed in the Western Cape High Court on </w:t>
      </w:r>
      <w:r>
        <w:rPr>
          <w:b/>
        </w:rPr>
        <w:t>25 March 2026</w:t>
      </w:r>
      <w:r>
        <w:t> (Case No. 2026-066952 - </w:t>
      </w:r>
      <w:r>
        <w:rPr>
          <w:i/>
        </w:rPr>
        <w:t>Matthee v Fernandes &amp; Others</w:t>
      </w:r>
      <w:r>
        <w:t>).</w:t>
      </w:r>
    </w:p>
    <w:p>
      <w:r>
        <w:t>The proceedings allege that directors Bruno Fernandes, Dr Nkateko Munisi, Alice le Roux, Gerald Van Wyk, and LSM Mpumlwana failed in their fiduciary duties under Section 76 of the Companies Act 71 of 2008, including:</w:t>
      </w:r>
    </w:p>
    <w:p>
      <w:pPr>
        <w:ind w:left="720" w:hanging="360"/>
      </w:pPr>
      <w:r>
        <w:t xml:space="preserve">•  </w:t>
      </w:r>
      <w:r>
        <w:t>Failure to exercise reasonable care, skill, and diligence in approving the Report;</w:t>
      </w:r>
    </w:p>
    <w:p>
      <w:pPr>
        <w:ind w:left="720" w:hanging="360"/>
      </w:pPr>
      <w:r>
        <w:t xml:space="preserve">•  </w:t>
      </w:r>
      <w:r>
        <w:t>Knowingly concealing material information from stakeholders;</w:t>
      </w:r>
    </w:p>
    <w:p>
      <w:pPr>
        <w:ind w:left="720" w:hanging="360"/>
      </w:pPr>
      <w:r>
        <w:t xml:space="preserve">•  </w:t>
      </w:r>
      <w:r>
        <w:t>Failing to ensure accurate and complete disclosure of material risks.</w:t>
      </w:r>
    </w:p>
    <w:p>
      <w:r>
        <w:rPr>
          <w:b/>
        </w:rPr>
        <w:t>Materiality Assessment:</w:t>
      </w:r>
    </w:p>
    <w:p>
      <w:r>
        <w:t>Section 162 proceedings directly challenge the fitness and propriety of directors to hold office. The proceedings were filed </w:t>
      </w:r>
      <w:r>
        <w:rPr>
          <w:b/>
        </w:rPr>
        <w:t>six days before Board approval</w:t>
      </w:r>
      <w:r>
        <w:t> of the Report. The Board's approval of the Report while subject to these proceedings, without disclosure, constitutes a material omission.</w:t>
      </w:r>
    </w:p>
    <w:p>
      <w:pPr>
        <w:pStyle w:val="Heading2"/>
      </w:pPr>
      <w:r>
        <w:t>2.2 Section 3.63 - Failure to Disclose Material Changes</w:t>
      </w:r>
    </w:p>
    <w:p>
      <w:r>
        <w:rPr>
          <w:b/>
        </w:rPr>
        <w:t>The Requirement:</w:t>
      </w:r>
    </w:p>
    <w:p>
      <w:r>
        <w:t>Section 3.63 requires disclosure of "material changes" in the company's affairs that may affect the value of its securities.</w:t>
      </w:r>
    </w:p>
    <w:p>
      <w:r>
        <w:rPr>
          <w:b/>
        </w:rPr>
        <w:t>The Breach:</w:t>
      </w:r>
    </w:p>
    <w:p>
      <w:r>
        <w:t>The Report omits the following material changes/regulatory developments:</w:t>
      </w:r>
    </w:p>
    <w:p>
      <w:pPr>
        <w:ind w:left="720" w:hanging="360"/>
      </w:pPr>
      <w:r>
        <w:t xml:space="preserve">•  </w:t>
      </w:r>
      <w:r>
        <w:t>B-BBEE Commission investigation (Case No. 5/02/2026) into fronting allegations;</w:t>
      </w:r>
    </w:p>
    <w:p>
      <w:pPr>
        <w:ind w:left="720" w:hanging="360"/>
      </w:pPr>
      <w:r>
        <w:t xml:space="preserve">•  </w:t>
      </w:r>
      <w:r>
        <w:t>CMS referral of 'Administrative Misconduct and Ethical Failure' to HPCSA and SANC;</w:t>
      </w:r>
    </w:p>
    <w:p>
      <w:pPr>
        <w:ind w:left="720" w:hanging="360"/>
      </w:pPr>
      <w:r>
        <w:t xml:space="preserve">•  </w:t>
      </w:r>
      <w:r>
        <w:t>SAPS criminal case (CAS 705/3/2026) for statutory fraud under UIF Contributions Act;</w:t>
      </w:r>
    </w:p>
    <w:p>
      <w:pPr>
        <w:ind w:left="720" w:hanging="360"/>
      </w:pPr>
      <w:r>
        <w:t xml:space="preserve">•  </w:t>
      </w:r>
      <w:r>
        <w:t>Department of Employment and Labour integrated inspection for UIF non-compliance.</w:t>
      </w:r>
    </w:p>
    <w:p>
      <w:pPr>
        <w:pStyle w:val="Heading2"/>
      </w:pPr>
      <w:r>
        <w:t>2.3 Section 3.8 - Accuracy of Information</w:t>
      </w:r>
    </w:p>
    <w:p>
      <w:r>
        <w:rPr>
          <w:b/>
        </w:rPr>
        <w:t>The Requirement:</w:t>
      </w:r>
    </w:p>
    <w:p>
      <w:r>
        <w:t>Section 3.8 requires that all information disclosed to the JSE be accurate and not misleading.</w:t>
      </w:r>
    </w:p>
    <w:p>
      <w:r>
        <w:rPr>
          <w:b/>
        </w:rPr>
        <w:t>The Breach:</w:t>
      </w:r>
    </w:p>
    <w:p>
      <w:r>
        <w:t>The Report contains statements that are </w:t>
      </w:r>
      <w:r>
        <w:rPr>
          <w:b/>
        </w:rPr>
        <w:t>demonstrably false or misleading:</w:t>
      </w:r>
    </w:p>
    <w:p>
      <w:pPr>
        <w:ind w:left="720" w:hanging="360"/>
      </w:pPr>
      <w:r>
        <w:t xml:space="preserve">•  </w:t>
      </w:r>
      <w:r>
        <w:t>Page 1: 'Driving Clinical Innovation' and 'Zero Tolerance for Unethical Conduct' - while concealing Priority 1 clinical risk;</w:t>
      </w:r>
    </w:p>
    <w:p>
      <w:pPr>
        <w:ind w:left="720" w:hanging="360"/>
      </w:pPr>
      <w:r>
        <w:t xml:space="preserve">•  </w:t>
      </w:r>
      <w:r>
        <w:t>Page 138: 'Anonymous whistle-blowing line with proper channels' - while retaliating against whistleblower;</w:t>
      </w:r>
    </w:p>
    <w:p>
      <w:pPr>
        <w:ind w:left="720" w:hanging="360"/>
      </w:pPr>
      <w:r>
        <w:t xml:space="preserve">•  </w:t>
      </w:r>
      <w:r>
        <w:t>Page 157: 'Level 1 B-BBEE status' - while under investigation for fronting;</w:t>
      </w:r>
    </w:p>
    <w:p>
      <w:pPr>
        <w:ind w:left="720" w:hanging="360"/>
      </w:pPr>
      <w:r>
        <w:t xml:space="preserve">•  </w:t>
      </w:r>
      <w:r>
        <w:t>Page 633-636: Claims of 'proactive governance steps' - while omitting material legal proceedings.</w:t>
      </w:r>
    </w:p>
    <w:p>
      <w:pPr>
        <w:pStyle w:val="Heading1"/>
      </w:pPr>
      <w:r>
        <w:t>3. SENS DISCLOSURE FAILURES</w:t>
      </w:r>
    </w:p>
    <w:p>
      <w:r>
        <w:t>The following events should have triggered SENS announcements but were not disclosed:</w:t>
      </w:r>
    </w:p>
    <w:tbl>
      <w:tblPr>
        <w:tblW w:w="5000" w:type="pct"/>
        <w:tblBorders>
          <w:top w:val="single" w:color="1a365d" w:sz="8"/>
          <w:left w:val="single" w:color="e2e8f0" w:sz="4"/>
          <w:bottom w:val="single" w:color="1a365d" w:sz="8"/>
          <w:right w:val="single" w:color="e2e8f0" w:sz="4"/>
          <w:insideH w:val="single" w:color="e2e8f0" w:sz="4"/>
          <w:insideV w:val="single" w:color="e2e8f0" w:sz="4"/>
        </w:tblBorders>
      </w:tblPr>
      <w:tblGrid>
        <w:gridCol w:w="2200"/>
        <w:gridCol w:w="1800"/>
        <w:gridCol w:w="2500"/>
        <w:gridCol w:w="3500"/>
      </w:tblGrid>
      <w:tr>
        <w:tc>
          <w:tcPr>
            <w:tcW w:w="2200" w:type="dxa"/>
            <w:shd w:val="clear" w:fill="edf2f7"/>
            <w:vAlign w:val="center"/>
          </w:tcPr>
          <w:p>
            <w:pPr>
              <w:spacing w:before="60" w:after="60"/>
            </w:pPr>
            <w:r>
              <w:rPr>
                <w:b/>
                <w:sz w:val="20"/>
              </w:rPr>
              <w:t>Event</w:t>
            </w:r>
          </w:p>
        </w:tc>
        <w:tc>
          <w:tcPr>
            <w:tcW w:w="1800" w:type="dxa"/>
            <w:shd w:val="clear" w:fill="edf2f7"/>
            <w:vAlign w:val="center"/>
          </w:tcPr>
          <w:p>
            <w:pPr>
              <w:spacing w:before="60" w:after="60"/>
            </w:pPr>
            <w:r>
              <w:rPr>
                <w:b/>
                <w:sz w:val="20"/>
              </w:rPr>
              <w:t>Date</w:t>
            </w:r>
          </w:p>
        </w:tc>
        <w:tc>
          <w:tcPr>
            <w:tcW w:w="2500" w:type="dxa"/>
            <w:shd w:val="clear" w:fill="edf2f7"/>
            <w:vAlign w:val="center"/>
          </w:tcPr>
          <w:p>
            <w:pPr>
              <w:spacing w:before="60" w:after="60"/>
            </w:pPr>
            <w:r>
              <w:rPr>
                <w:b/>
                <w:sz w:val="20"/>
              </w:rPr>
              <w:t>SENS Requirement</w:t>
            </w:r>
          </w:p>
        </w:tc>
        <w:tc>
          <w:tcPr>
            <w:tcW w:w="3500" w:type="dxa"/>
            <w:shd w:val="clear" w:fill="edf2f7"/>
            <w:vAlign w:val="center"/>
          </w:tcPr>
          <w:p>
            <w:pPr>
              <w:spacing w:before="60" w:after="60"/>
            </w:pPr>
            <w:r>
              <w:rPr>
                <w:b/>
                <w:sz w:val="20"/>
              </w:rPr>
              <w:t>Status</w:t>
            </w:r>
          </w:p>
        </w:tc>
      </w:tr>
      <w:tr>
        <w:tc>
          <w:tcPr>
            <w:tcW w:w="2200" w:type="dxa"/>
            <w:vAlign w:val="center"/>
          </w:tcPr>
          <w:p>
            <w:pPr>
              <w:spacing w:before="60" w:after="60"/>
            </w:pPr>
            <w:r>
              <w:rPr>
                <w:sz w:val="20"/>
              </w:rPr>
              <w:t>Section 162 proceedings filed</w:t>
            </w:r>
          </w:p>
        </w:tc>
        <w:tc>
          <w:tcPr>
            <w:tcW w:w="1800" w:type="dxa"/>
            <w:vAlign w:val="center"/>
          </w:tcPr>
          <w:p>
            <w:pPr>
              <w:spacing w:before="60" w:after="60"/>
            </w:pPr>
            <w:r>
              <w:rPr>
                <w:sz w:val="20"/>
              </w:rPr>
              <w:t>25 March 2026</w:t>
            </w:r>
          </w:p>
        </w:tc>
        <w:tc>
          <w:tcPr>
            <w:tcW w:w="2500" w:type="dxa"/>
            <w:vAlign w:val="center"/>
          </w:tcPr>
          <w:p>
            <w:pPr>
              <w:spacing w:before="60" w:after="60"/>
            </w:pPr>
            <w:r>
              <w:rPr>
                <w:sz w:val="20"/>
              </w:rPr>
              <w:t>Section 3.59(b)</w:t>
            </w:r>
          </w:p>
        </w:tc>
        <w:tc>
          <w:tcPr>
            <w:tcW w:w="3500" w:type="dxa"/>
            <w:vAlign w:val="center"/>
          </w:tcPr>
          <w:p>
            <w:pPr>
              <w:spacing w:before="60" w:after="60"/>
            </w:pPr>
            <w:r>
              <w:rPr>
                <w:sz w:val="20"/>
              </w:rPr>
              <w:t>NOT DISCLOSED</w:t>
            </w:r>
          </w:p>
        </w:tc>
      </w:tr>
      <w:tr>
        <w:tc>
          <w:tcPr>
            <w:tcW w:w="2200" w:type="dxa"/>
            <w:vAlign w:val="center"/>
          </w:tcPr>
          <w:p>
            <w:pPr>
              <w:spacing w:before="60" w:after="60"/>
            </w:pPr>
            <w:r>
              <w:rPr>
                <w:sz w:val="20"/>
              </w:rPr>
              <w:t>B-BBEE investigation allocated</w:t>
            </w:r>
          </w:p>
        </w:tc>
        <w:tc>
          <w:tcPr>
            <w:tcW w:w="1800" w:type="dxa"/>
            <w:vAlign w:val="center"/>
          </w:tcPr>
          <w:p>
            <w:pPr>
              <w:spacing w:before="60" w:after="60"/>
            </w:pPr>
            <w:r>
              <w:rPr>
                <w:sz w:val="20"/>
              </w:rPr>
              <w:t>February 2026</w:t>
            </w:r>
          </w:p>
        </w:tc>
        <w:tc>
          <w:tcPr>
            <w:tcW w:w="2500" w:type="dxa"/>
            <w:vAlign w:val="center"/>
          </w:tcPr>
          <w:p>
            <w:pPr>
              <w:spacing w:before="60" w:after="60"/>
            </w:pPr>
            <w:r>
              <w:rPr>
                <w:sz w:val="20"/>
              </w:rPr>
              <w:t>Section 3.63</w:t>
            </w:r>
          </w:p>
        </w:tc>
        <w:tc>
          <w:tcPr>
            <w:tcW w:w="3500" w:type="dxa"/>
            <w:vAlign w:val="center"/>
          </w:tcPr>
          <w:p>
            <w:pPr>
              <w:spacing w:before="60" w:after="60"/>
            </w:pPr>
            <w:r>
              <w:rPr>
                <w:sz w:val="20"/>
              </w:rPr>
              <w:t>NOT DISCLOSED</w:t>
            </w:r>
          </w:p>
        </w:tc>
      </w:tr>
      <w:tr>
        <w:tc>
          <w:tcPr>
            <w:tcW w:w="2200" w:type="dxa"/>
            <w:vAlign w:val="center"/>
          </w:tcPr>
          <w:p>
            <w:pPr>
              <w:spacing w:before="60" w:after="60"/>
            </w:pPr>
            <w:r>
              <w:rPr>
                <w:sz w:val="20"/>
              </w:rPr>
              <w:t>CMS referral to HPCSA/SANC</w:t>
            </w:r>
          </w:p>
        </w:tc>
        <w:tc>
          <w:tcPr>
            <w:tcW w:w="1800" w:type="dxa"/>
            <w:vAlign w:val="center"/>
          </w:tcPr>
          <w:p>
            <w:pPr>
              <w:spacing w:before="60" w:after="60"/>
            </w:pPr>
            <w:r>
              <w:rPr>
                <w:sz w:val="20"/>
              </w:rPr>
              <w:t>2026</w:t>
            </w:r>
          </w:p>
        </w:tc>
        <w:tc>
          <w:tcPr>
            <w:tcW w:w="2500" w:type="dxa"/>
            <w:vAlign w:val="center"/>
          </w:tcPr>
          <w:p>
            <w:pPr>
              <w:spacing w:before="60" w:after="60"/>
            </w:pPr>
            <w:r>
              <w:rPr>
                <w:sz w:val="20"/>
              </w:rPr>
              <w:t>Section 3.63</w:t>
            </w:r>
          </w:p>
        </w:tc>
        <w:tc>
          <w:tcPr>
            <w:tcW w:w="3500" w:type="dxa"/>
            <w:vAlign w:val="center"/>
          </w:tcPr>
          <w:p>
            <w:pPr>
              <w:spacing w:before="60" w:after="60"/>
            </w:pPr>
            <w:r>
              <w:rPr>
                <w:sz w:val="20"/>
              </w:rPr>
              <w:t>NOT DISCLOSED</w:t>
            </w:r>
          </w:p>
        </w:tc>
      </w:tr>
      <w:tr>
        <w:tc>
          <w:tcPr>
            <w:tcW w:w="2200" w:type="dxa"/>
            <w:vAlign w:val="center"/>
          </w:tcPr>
          <w:p>
            <w:pPr>
              <w:spacing w:before="60" w:after="60"/>
            </w:pPr>
            <w:r>
              <w:rPr>
                <w:sz w:val="20"/>
              </w:rPr>
              <w:t>SAPS criminal case registered</w:t>
            </w:r>
          </w:p>
        </w:tc>
        <w:tc>
          <w:tcPr>
            <w:tcW w:w="1800" w:type="dxa"/>
            <w:vAlign w:val="center"/>
          </w:tcPr>
          <w:p>
            <w:pPr>
              <w:spacing w:before="60" w:after="60"/>
            </w:pPr>
            <w:r>
              <w:rPr>
                <w:sz w:val="20"/>
              </w:rPr>
              <w:t>19 March 2026</w:t>
            </w:r>
          </w:p>
        </w:tc>
        <w:tc>
          <w:tcPr>
            <w:tcW w:w="2500" w:type="dxa"/>
            <w:vAlign w:val="center"/>
          </w:tcPr>
          <w:p>
            <w:pPr>
              <w:spacing w:before="60" w:after="60"/>
            </w:pPr>
            <w:r>
              <w:rPr>
                <w:sz w:val="20"/>
              </w:rPr>
              <w:t>Section 3.63</w:t>
            </w:r>
          </w:p>
        </w:tc>
        <w:tc>
          <w:tcPr>
            <w:tcW w:w="3500" w:type="dxa"/>
            <w:vAlign w:val="center"/>
          </w:tcPr>
          <w:p>
            <w:pPr>
              <w:spacing w:before="60" w:after="60"/>
            </w:pPr>
            <w:r>
              <w:rPr>
                <w:sz w:val="20"/>
              </w:rPr>
              <w:t>NOT DISCLOSED</w:t>
            </w:r>
          </w:p>
        </w:tc>
      </w:tr>
    </w:tbl>
    <w:p/>
    <w:p>
      <w:pPr>
        <w:pStyle w:val="Heading1"/>
      </w:pPr>
      <w:r>
        <w:t>4. IMPACT ON MARKET INTEGRITY</w:t>
      </w:r>
    </w:p>
    <w:p>
      <w:r>
        <w:t>The Company's omissions and misrepresentations undermine market integrity by:</w:t>
      </w:r>
    </w:p>
    <w:p>
      <w:pPr>
        <w:ind w:left="720" w:hanging="360"/>
      </w:pPr>
      <w:r>
        <w:t xml:space="preserve">•  </w:t>
      </w:r>
      <w:r>
        <w:t>Creating an artificial market price based on incomplete information;</w:t>
      </w:r>
    </w:p>
    <w:p>
      <w:pPr>
        <w:ind w:left="720" w:hanging="360"/>
      </w:pPr>
      <w:r>
        <w:t xml:space="preserve">•  </w:t>
      </w:r>
      <w:r>
        <w:t>Depriving investors of material information necessary for informed decision-making;</w:t>
      </w:r>
    </w:p>
    <w:p>
      <w:pPr>
        <w:ind w:left="720" w:hanging="360"/>
      </w:pPr>
      <w:r>
        <w:t xml:space="preserve">•  </w:t>
      </w:r>
      <w:r>
        <w:t>Eroding confidence in JSE-listed company disclosures;</w:t>
      </w:r>
    </w:p>
    <w:p>
      <w:pPr>
        <w:ind w:left="720" w:hanging="360"/>
      </w:pPr>
      <w:r>
        <w:t xml:space="preserve">•  </w:t>
      </w:r>
      <w:r>
        <w:t>Rewarding governance failures with continued market access.</w:t>
      </w:r>
    </w:p>
    <w:p>
      <w:r>
        <w:rPr>
          <w:b/>
        </w:rPr>
        <w:t>Public Interest:</w:t>
      </w:r>
    </w:p>
    <w:p>
      <w:r>
        <w:t>The Company administers the Government Employees Medical Scheme (GEMS), a public-sector medical scheme serving government employees. The concealment of clinical risks and governance failures affects public funds and public servants' healthcare.</w:t>
      </w:r>
    </w:p>
    <w:p>
      <w:pPr>
        <w:pStyle w:val="Heading1"/>
      </w:pPr>
      <w:r>
        <w:t>5. REQUESTED REMEDIAL ACTION</w:t>
      </w:r>
    </w:p>
    <w:p>
      <w:r>
        <w:t>I respectfully request that the JSE Issuer Regulation Division:</w:t>
      </w:r>
    </w:p>
    <w:p>
      <w:pPr>
        <w:ind w:left="720" w:hanging="360"/>
      </w:pPr>
      <w:r>
        <w:t xml:space="preserve">1. </w:t>
      </w:r>
      <w:r>
        <w:t>Investigate the alleged breaches of JSE Listings Requirements;</w:t>
      </w:r>
    </w:p>
    <w:p>
      <w:pPr>
        <w:ind w:left="720" w:hanging="360"/>
      </w:pPr>
      <w:r>
        <w:t xml:space="preserve">2. </w:t>
      </w:r>
      <w:r>
        <w:t>Require the Company to issue a correction statement via SENS addressing the material omissions;</w:t>
      </w:r>
    </w:p>
    <w:p>
      <w:pPr>
        <w:ind w:left="720" w:hanging="360"/>
      </w:pPr>
      <w:r>
        <w:t xml:space="preserve">3. </w:t>
      </w:r>
      <w:r>
        <w:t>Require the Company to restate the Integrated Annual Report with full disclosure of:</w:t>
      </w:r>
    </w:p>
    <w:p>
      <w:pPr>
        <w:ind w:left="1080" w:hanging="360"/>
      </w:pPr>
      <w:r>
        <w:t xml:space="preserve">(a) </w:t>
      </w:r>
      <w:r>
        <w:t>Section 162 Director Delinquency proceedings;</w:t>
      </w:r>
    </w:p>
    <w:p>
      <w:pPr>
        <w:ind w:left="1080" w:hanging="360"/>
      </w:pPr>
      <w:r>
        <w:t xml:space="preserve">(b) </w:t>
      </w:r>
      <w:r>
        <w:t>Priority 1 Gexus-DMS integration failure and member impact;</w:t>
      </w:r>
    </w:p>
    <w:p>
      <w:pPr>
        <w:ind w:left="1080" w:hanging="360"/>
      </w:pPr>
      <w:r>
        <w:t xml:space="preserve">(c) </w:t>
      </w:r>
      <w:r>
        <w:t>B-BBEE Commission investigation;</w:t>
      </w:r>
    </w:p>
    <w:p>
      <w:pPr>
        <w:ind w:left="1080" w:hanging="360"/>
      </w:pPr>
      <w:r>
        <w:t xml:space="preserve">(d) </w:t>
      </w:r>
      <w:r>
        <w:t>All pending regulatory investigations.</w:t>
      </w:r>
    </w:p>
    <w:p>
      <w:pPr>
        <w:ind w:left="720" w:hanging="360"/>
      </w:pPr>
      <w:r>
        <w:t xml:space="preserve">4. </w:t>
      </w:r>
      <w:r>
        <w:t>Consider disciplinary action against the Company for repeated disclosure failures;</w:t>
      </w:r>
    </w:p>
    <w:p>
      <w:pPr>
        <w:ind w:left="720" w:hanging="360"/>
      </w:pPr>
      <w:r>
        <w:t xml:space="preserve">5. </w:t>
      </w:r>
      <w:r>
        <w:t>Require the Board to confirm that all directors have reviewed and verified the accuracy of future disclosures.</w:t>
      </w:r>
    </w:p>
    <w:p>
      <w:pPr>
        <w:pStyle w:val="Heading1"/>
      </w:pPr>
      <w:r>
        <w:t>6. SUPPORTING EVIDENCE</w:t>
      </w:r>
    </w:p>
    <w:p>
      <w:r>
        <w:t>The following evidence is available to substantiate this complaint:</w:t>
      </w:r>
    </w:p>
    <w:p>
      <w:pPr>
        <w:ind w:left="720" w:hanging="360"/>
      </w:pPr>
      <w:r>
        <w:t xml:space="preserve">•  </w:t>
      </w:r>
      <w:r>
        <w:t>Protected Disclosure dated 2 April 2026 (previously submitted);</w:t>
      </w:r>
    </w:p>
    <w:p>
      <w:pPr>
        <w:ind w:left="720" w:hanging="360"/>
      </w:pPr>
      <w:r>
        <w:t xml:space="preserve">•  </w:t>
      </w:r>
      <w:r>
        <w:t>Western Cape High Court Section 162 Application (Case No. 2026-066952);</w:t>
      </w:r>
    </w:p>
    <w:p>
      <w:pPr>
        <w:ind w:left="720" w:hanging="360"/>
      </w:pPr>
      <w:r>
        <w:t xml:space="preserve">•  </w:t>
      </w:r>
      <w:r>
        <w:t>B-BBEE Commission Case File (Case No. 5/02/2026);</w:t>
      </w:r>
    </w:p>
    <w:p>
      <w:pPr>
        <w:ind w:left="720" w:hanging="360"/>
      </w:pPr>
      <w:r>
        <w:t xml:space="preserve">•  </w:t>
      </w:r>
      <w:r>
        <w:t>CMS Referral documentation;</w:t>
      </w:r>
    </w:p>
    <w:p>
      <w:pPr>
        <w:ind w:left="720" w:hanging="360"/>
      </w:pPr>
      <w:r>
        <w:t xml:space="preserve">•  </w:t>
      </w:r>
      <w:r>
        <w:t>SAPS Criminal Case (CAS 705/3/2026);</w:t>
      </w:r>
    </w:p>
    <w:p>
      <w:pPr>
        <w:ind w:left="720" w:hanging="360"/>
      </w:pPr>
      <w:r>
        <w:t xml:space="preserve">•  </w:t>
      </w:r>
      <w:r>
        <w:t>Annotated extracts from the Integrated Annual Report;</w:t>
      </w:r>
    </w:p>
    <w:p>
      <w:pPr>
        <w:ind w:left="720" w:hanging="360"/>
      </w:pPr>
      <w:r>
        <w:t xml:space="preserve">•  </w:t>
      </w:r>
      <w:r>
        <w:t>Labour Court Statement of Claim (Case No. 2026-077546).</w:t>
      </w:r>
    </w:p>
    <w:p>
      <w:pPr>
        <w:spacing w:before="400"/>
      </w:pPr>
    </w:p>
    <w:p>
      <w:r>
        <w:t>This complaint is submitted in good faith under the protections of the Protected Disclosures Act 26 of 2000. I am available to provide additional information or testimony as required.</w:t>
      </w:r>
    </w:p>
    <w:p>
      <w:pPr>
        <w:spacing w:before="400"/>
      </w:pPr>
    </w:p>
    <w:p>
      <w:r>
        <w:t>Yours faithfully,</w:t>
      </w:r>
    </w:p>
    <w:p>
      <w:pPr>
        <w:spacing w:before="200"/>
      </w:pPr>
    </w:p>
    <w:p>
      <w:r>
        <w:rPr>
          <w:b/>
        </w:rPr>
        <w:t>Wilbur William Matthee</w:t>
      </w:r>
    </w:p>
    <w:p>
      <w:r>
        <w:t>Registered Nurse Specialist | Forensic Governance Practitioner</w:t>
      </w:r>
    </w:p>
    <w:p>
      <w:r>
        <w:t>Founder, EthicHawks Forensic Governance Consultancy</w:t>
      </w:r>
    </w:p>
    <w:p>
      <w:r>
        <w:t>info@ethichawks.co.za</w:t>
      </w:r>
    </w:p>
    <w:p>
      <w:r>
        <w:t>069 635 1435 / 063 378 8782</w:t>
      </w:r>
    </w:p>
    <w:p>
      <w:r>
        <w:t>12 April 2026</w:t>
      </w:r>
    </w:p>
    <w:sectPr>
      <w:headerReference w:type="default" r:id="R716e3105b8e0491b"/>
      <w:footerReference w:type="default" r:id="Rd20ca8e638fc42e8"/>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4a5568"/>
        <w:sz w:val="20"/>
      </w:rPr>
      <w:t xml:space="preserve">Page </w:t>
    </w:r>
    <w:r>
      <w:fldChar w:fldCharType="begin"/>
    </w:r>
    <w:r>
      <w:instrText> PAGE </w:instrText>
    </w:r>
    <w:r>
      <w:fldChar w:fldCharType="separate"/>
    </w:r>
    <w:r>
      <w:t>1</w:t>
    </w:r>
    <w:r>
      <w:fldChar w:fldCharType="end"/>
    </w:r>
    <w:r>
      <w:rPr>
        <w:color w:val="4a5568"/>
        <w:sz w:val="20"/>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1a365d" w:sz="6"/>
      </w:pBdr>
      <w:jc w:val="center"/>
    </w:pPr>
    <w:r>
      <w:rPr>
        <w:b/>
        <w:color w:val="1a365d"/>
        <w:sz w:val="20"/>
      </w:rPr>
      <w:t>JSE ISSUER REGULATION DIVISION - FORMAL COMPLAINT</w:t>
    </w:r>
  </w:p>
</w:hdr>
</file>

<file path=word/styles.xml><?xml version="1.0" encoding="utf-8"?>
<w:styles xmlns:w="http://schemas.openxmlformats.org/wordprocessingml/2006/main">
  <w:style w:type="paragraph" w:styleId="Normal" w:default="true">
    <w:name w:val="Normal"/>
    <w:pPr>
      <w:spacing w:after="200" w:line="276" w:lineRule="auto"/>
    </w:pPr>
    <w:rPr>
      <w:rFonts w:ascii="Times New Roman" w:hAnsi="Times New Roman"/>
      <w:color w:val="1a202c"/>
      <w:sz w:val="24"/>
    </w:rPr>
  </w:style>
  <w:style w:type="paragraph" w:styleId="Heading1">
    <w:name w:val="heading 1"/>
    <w:basedOn w:val="Normal"/>
    <w:pPr>
      <w:keepNext/>
      <w:spacing w:before="400" w:after="200"/>
      <w:outlineLvl w:val="0"/>
    </w:pPr>
    <w:rPr>
      <w:b/>
      <w:color w:val="1a365d"/>
      <w:sz w:val="28"/>
    </w:rPr>
  </w:style>
  <w:style w:type="paragraph" w:styleId="Heading2">
    <w:name w:val="heading 2"/>
    <w:basedOn w:val="Normal"/>
    <w:pPr>
      <w:keepNext/>
      <w:spacing w:before="300" w:after="120"/>
      <w:outlineLvl w:val="1"/>
    </w:pPr>
    <w:rPr>
      <w:b/>
      <w:color w:val="1a365d"/>
      <w:sz w:val="24"/>
    </w:rPr>
  </w:style>
</w:styles>
</file>

<file path=word/_rels/document.xml.rels>&#65279;<?xml version="1.0" encoding="utf-8"?><Relationships xmlns="http://schemas.openxmlformats.org/package/2006/relationships"><Relationship Type="http://schemas.openxmlformats.org/officeDocument/2006/relationships/styles" Target="/word/styles.xml" Id="R17d8a7100f3e43d0" /><Relationship Type="http://schemas.openxmlformats.org/officeDocument/2006/relationships/header" Target="/word/header1.xml" Id="R716e3105b8e0491b" /><Relationship Type="http://schemas.openxmlformats.org/officeDocument/2006/relationships/footer" Target="/word/footer1.xml" Id="Rd20ca8e638fc42e8" /></Relationships>
</file>