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da914179423b4eed" /></Relationships>
</file>

<file path=word/document.xml><?xml version="1.0" encoding="utf-8"?>
<w:document xmlns:r="http://schemas.openxmlformats.org/officeDocument/2006/relationships" xmlns:w="http://schemas.openxmlformats.org/wordprocessingml/2006/main">
  <w:body>
    <w:p>
      <w:pPr>
        <w:spacing w:before="600" w:after="200"/>
        <w:jc w:val="center"/>
      </w:pPr>
      <w:r>
        <w:rPr>
          <w:b/>
          <w:color w:val="1a1f2e"/>
          <w:sz w:val="48"/>
        </w:rPr>
        <w:t>CASE ANALYSIS TABLES</w:t>
      </w:r>
    </w:p>
    <w:p>
      <w:pPr>
        <w:spacing w:after="400"/>
        <w:jc w:val="center"/>
      </w:pPr>
      <w:r>
        <w:rPr>
          <w:color w:val="d4af37"/>
          <w:sz w:val="28"/>
        </w:rPr>
        <w:t>Wilbur William Matthee v. AfroCentric Health / Medscheme Holdings</w:t>
      </w:r>
    </w:p>
    <w:p>
      <w:pPr>
        <w:spacing w:after="600"/>
        <w:jc w:val="center"/>
      </w:pPr>
      <w:r>
        <w:rPr>
          <w:color w:val="4a4a4a"/>
          <w:sz w:val="22"/>
        </w:rPr>
        <w:t>Last Updated: 2026-04-03 | Total Entries: 148</w:t>
      </w:r>
    </w:p>
    <w:p>
      <w:pPr>
        <w:pStyle w:val="Heading1"/>
      </w:pPr>
      <w:r>
        <w:t>TABLE 1: KEY EVENTS</w:t>
      </w:r>
    </w:p>
    <w:p>
      <w:pPr>
        <w:spacing w:before="120" w:after="300"/>
        <w:jc w:val="both"/>
      </w:pPr>
      <w:r>
        <w:rPr>
          <w:i/>
          <w:color w:val="4a4a4a"/>
          <w:sz w:val="20"/>
        </w:rPr>
        <w:t>This table documents the chronological sequence of significant events in the case, highlighting incidents that directly contributed to occupational detriment. Events marked in RED indicate direct causal links to the deterioration of the employment relationship and subsequent constructive dismissal.</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4000"/>
        <w:gridCol w:w="3800"/>
        <w:gridCol w:w="1000"/>
      </w:tblGrid>
      <w:tr>
        <w:trPr>
          <w:tblHeader/>
          <w:trHeight w:val="400" w:hRule="atLeast"/>
        </w:trPr>
        <w:tc>
          <w:tcPr>
            <w:tcW w:w="0" w:type="auto"/>
            <w:shd w:val="clear" w:fill="1a1f2e"/>
            <w:vAlign w:val="center"/>
          </w:tcPr>
          <w:p>
            <w:pPr>
              <w:spacing w:before="0" w:after="0"/>
              <w:jc w:val="center"/>
            </w:pPr>
            <w:r>
              <w:rPr>
                <w:b/>
                <w:color w:val="d4af37"/>
                <w:sz w:val="20"/>
              </w:rPr>
              <w:t>Date</w:t>
            </w:r>
          </w:p>
        </w:tc>
        <w:tc>
          <w:tcPr>
            <w:tcW w:w="0" w:type="auto"/>
            <w:shd w:val="clear" w:fill="1a1f2e"/>
            <w:vAlign w:val="center"/>
          </w:tcPr>
          <w:p>
            <w:pPr>
              <w:spacing w:before="0" w:after="0"/>
              <w:jc w:val="center"/>
            </w:pPr>
            <w:r>
              <w:rPr>
                <w:b/>
                <w:color w:val="d4af37"/>
                <w:sz w:val="20"/>
              </w:rPr>
              <w:t>Event Description</w:t>
            </w:r>
          </w:p>
        </w:tc>
        <w:tc>
          <w:tcPr>
            <w:tcW w:w="0" w:type="auto"/>
            <w:shd w:val="clear" w:fill="1a1f2e"/>
            <w:vAlign w:val="center"/>
          </w:tcPr>
          <w:p>
            <w:pPr>
              <w:spacing w:before="0" w:after="0"/>
              <w:jc w:val="center"/>
            </w:pPr>
            <w:r>
              <w:rPr>
                <w:b/>
                <w:color w:val="d4af37"/>
                <w:sz w:val="20"/>
              </w:rPr>
              <w:t>Causal Link to Occupational Detriment</w:t>
            </w:r>
          </w:p>
        </w:tc>
        <w:tc>
          <w:tcPr>
            <w:tcW w:w="0" w:type="auto"/>
            <w:shd w:val="clear" w:fill="1a1f2e"/>
            <w:vAlign w:val="center"/>
          </w:tcPr>
          <w:p>
            <w:pPr>
              <w:spacing w:before="0" w:after="0"/>
              <w:jc w:val="center"/>
            </w:pPr>
            <w:r>
              <w:rPr>
                <w:b/>
                <w:color w:val="d4af37"/>
                <w:sz w:val="20"/>
              </w:rPr>
              <w:t>Ref</w:t>
            </w:r>
          </w:p>
        </w:tc>
      </w:tr>
      <w:tr>
        <w:trPr>
          <w:trHeight w:val="360" w:hRule="atLeast"/>
        </w:trPr>
        <w:tc>
          <w:tcPr>
            <w:tcW w:w="0" w:type="auto"/>
            <w:vAlign w:val="center"/>
          </w:tcPr>
          <w:p>
            <w:pPr>
              <w:spacing w:before="0" w:after="0"/>
            </w:pPr>
            <w:r>
              <w:rPr>
                <w:color w:val="2d2d2d"/>
                <w:sz w:val="18"/>
              </w:rPr>
              <w:t>2024-04-02</w:t>
            </w:r>
          </w:p>
        </w:tc>
        <w:tc>
          <w:tcPr>
            <w:tcW w:w="0" w:type="auto"/>
            <w:vAlign w:val="center"/>
          </w:tcPr>
          <w:p>
            <w:pPr>
              <w:spacing w:before="0" w:after="0"/>
            </w:pPr>
            <w:r>
              <w:rPr>
                <w:color w:val="2d2d2d"/>
                <w:sz w:val="18"/>
              </w:rPr>
              <w:t>BAIT AND SWITCH: Recruited for 'Specialist: Care Manager' but offered 'Care Coordinator' position</w:t>
            </w:r>
          </w:p>
        </w:tc>
        <w:tc>
          <w:tcPr>
            <w:tcW w:w="0" w:type="auto"/>
            <w:shd w:val="clear" w:fill="fff3cd"/>
            <w:vAlign w:val="center"/>
          </w:tcPr>
          <w:p>
            <w:pPr>
              <w:spacing w:before="0" w:after="0"/>
            </w:pPr>
            <w:r>
              <w:rPr>
                <w:b/>
                <w:color w:val="c41e3a"/>
                <w:sz w:val="18"/>
              </w:rPr>
              <w:t>Title suppression - foundational breach of employment contract terms</w:t>
            </w:r>
          </w:p>
        </w:tc>
        <w:tc>
          <w:tcPr>
            <w:tcW w:w="0" w:type="auto"/>
            <w:vAlign w:val="center"/>
          </w:tcPr>
          <w:p>
            <w:pPr>
              <w:spacing w:before="0" w:after="0"/>
              <w:jc w:val="center"/>
            </w:pPr>
            <w:r>
              <w:rPr>
                <w:color w:val="4a4a4a"/>
                <w:sz w:val="18"/>
              </w:rPr>
              <w:t>1</w:t>
            </w:r>
          </w:p>
        </w:tc>
      </w:tr>
      <w:tr>
        <w:trPr>
          <w:trHeight w:val="360" w:hRule="atLeast"/>
        </w:trPr>
        <w:tc>
          <w:tcPr>
            <w:tcW w:w="0" w:type="auto"/>
            <w:vAlign w:val="center"/>
          </w:tcPr>
          <w:p>
            <w:pPr>
              <w:spacing w:before="0" w:after="0"/>
            </w:pPr>
            <w:r>
              <w:rPr>
                <w:color w:val="2d2d2d"/>
                <w:sz w:val="18"/>
              </w:rPr>
              <w:t>2025-03-06</w:t>
            </w:r>
          </w:p>
        </w:tc>
        <w:tc>
          <w:tcPr>
            <w:tcW w:w="0" w:type="auto"/>
            <w:vAlign w:val="center"/>
          </w:tcPr>
          <w:p>
            <w:pPr>
              <w:spacing w:before="0" w:after="0"/>
            </w:pPr>
            <w:r>
              <w:rPr>
                <w:color w:val="2d2d2d"/>
                <w:sz w:val="18"/>
              </w:rPr>
              <w:t>FIRST DOCUMENTED THREAT: Mary-Ann Jones threatens Matthee: 'this is the end of you'</w:t>
            </w:r>
          </w:p>
        </w:tc>
        <w:tc>
          <w:tcPr>
            <w:tcW w:w="0" w:type="auto"/>
            <w:shd w:val="clear" w:fill="fff3cd"/>
            <w:vAlign w:val="center"/>
          </w:tcPr>
          <w:p>
            <w:pPr>
              <w:spacing w:before="0" w:after="0"/>
            </w:pPr>
            <w:r>
              <w:rPr>
                <w:b/>
                <w:color w:val="c41e3a"/>
                <w:sz w:val="18"/>
              </w:rPr>
              <w:t>Direct intimidation establishing hostile work environment pattern</w:t>
            </w:r>
          </w:p>
        </w:tc>
        <w:tc>
          <w:tcPr>
            <w:tcW w:w="0" w:type="auto"/>
            <w:vAlign w:val="center"/>
          </w:tcPr>
          <w:p>
            <w:pPr>
              <w:spacing w:before="0" w:after="0"/>
              <w:jc w:val="center"/>
            </w:pPr>
            <w:r>
              <w:rPr>
                <w:color w:val="4a4a4a"/>
                <w:sz w:val="18"/>
              </w:rPr>
              <w:t>2</w:t>
            </w:r>
          </w:p>
        </w:tc>
      </w:tr>
      <w:tr>
        <w:trPr>
          <w:trHeight w:val="360" w:hRule="atLeast"/>
        </w:trPr>
        <w:tc>
          <w:tcPr>
            <w:tcW w:w="0" w:type="auto"/>
            <w:vAlign w:val="center"/>
          </w:tcPr>
          <w:p>
            <w:pPr>
              <w:spacing w:before="0" w:after="0"/>
            </w:pPr>
            <w:r>
              <w:rPr>
                <w:color w:val="2d2d2d"/>
                <w:sz w:val="18"/>
              </w:rPr>
              <w:t>2025-03-18</w:t>
            </w:r>
          </w:p>
        </w:tc>
        <w:tc>
          <w:tcPr>
            <w:tcW w:w="0" w:type="auto"/>
            <w:vAlign w:val="center"/>
          </w:tcPr>
          <w:p>
            <w:pPr>
              <w:spacing w:before="0" w:after="0"/>
            </w:pPr>
            <w:r>
              <w:rPr>
                <w:color w:val="2d2d2d"/>
                <w:sz w:val="18"/>
              </w:rPr>
              <w:t>Admission to Akeso Stepping Stones Clinic for inpatient treatment (severe depression, PTSD)</w:t>
            </w:r>
          </w:p>
        </w:tc>
        <w:tc>
          <w:tcPr>
            <w:tcW w:w="0" w:type="auto"/>
            <w:shd w:val="clear" w:fill="fff3cd"/>
            <w:vAlign w:val="center"/>
          </w:tcPr>
          <w:p>
            <w:pPr>
              <w:spacing w:before="0" w:after="0"/>
            </w:pPr>
            <w:r>
              <w:rPr>
                <w:b/>
                <w:color w:val="c41e3a"/>
                <w:sz w:val="18"/>
              </w:rPr>
              <w:t>Occupational detriment manifesting as mental health crisis requiring hospitalization</w:t>
            </w:r>
          </w:p>
        </w:tc>
        <w:tc>
          <w:tcPr>
            <w:tcW w:w="0" w:type="auto"/>
            <w:vAlign w:val="center"/>
          </w:tcPr>
          <w:p>
            <w:pPr>
              <w:spacing w:before="0" w:after="0"/>
              <w:jc w:val="center"/>
            </w:pPr>
            <w:r>
              <w:rPr>
                <w:color w:val="4a4a4a"/>
                <w:sz w:val="18"/>
              </w:rPr>
              <w:t>3</w:t>
            </w:r>
          </w:p>
        </w:tc>
      </w:tr>
      <w:tr>
        <w:trPr>
          <w:trHeight w:val="360" w:hRule="atLeast"/>
        </w:trPr>
        <w:tc>
          <w:tcPr>
            <w:tcW w:w="0" w:type="auto"/>
            <w:vAlign w:val="center"/>
          </w:tcPr>
          <w:p>
            <w:pPr>
              <w:spacing w:before="0" w:after="0"/>
            </w:pPr>
            <w:r>
              <w:rPr>
                <w:color w:val="2d2d2d"/>
                <w:sz w:val="18"/>
              </w:rPr>
              <w:t>2025-05-16</w:t>
            </w:r>
          </w:p>
        </w:tc>
        <w:tc>
          <w:tcPr>
            <w:tcW w:w="0" w:type="auto"/>
            <w:vAlign w:val="center"/>
          </w:tcPr>
          <w:p>
            <w:pPr>
              <w:spacing w:before="0" w:after="0"/>
            </w:pPr>
            <w:r>
              <w:rPr>
                <w:color w:val="2d2d2d"/>
                <w:sz w:val="18"/>
              </w:rPr>
              <w:t>Matthee provides Dr Jacques Malan's psychiatric letter to Mapule Mashele - disclosure of severe depression and PTSD</w:t>
            </w:r>
          </w:p>
        </w:tc>
        <w:tc>
          <w:tcPr>
            <w:tcW w:w="0" w:type="auto"/>
            <w:shd w:val="clear" w:fill="fff3cd"/>
            <w:vAlign w:val="center"/>
          </w:tcPr>
          <w:p>
            <w:pPr>
              <w:spacing w:before="0" w:after="0"/>
            </w:pPr>
            <w:r>
              <w:rPr>
                <w:b/>
                <w:color w:val="c41e3a"/>
                <w:sz w:val="18"/>
              </w:rPr>
              <w:t>Employer placed on formal notice of disability - duty to accommodate triggered</w:t>
            </w:r>
          </w:p>
        </w:tc>
        <w:tc>
          <w:tcPr>
            <w:tcW w:w="0" w:type="auto"/>
            <w:vAlign w:val="center"/>
          </w:tcPr>
          <w:p>
            <w:pPr>
              <w:spacing w:before="0" w:after="0"/>
              <w:jc w:val="center"/>
            </w:pPr>
            <w:r>
              <w:rPr>
                <w:color w:val="4a4a4a"/>
                <w:sz w:val="18"/>
              </w:rPr>
              <w:t>4</w:t>
            </w:r>
          </w:p>
        </w:tc>
      </w:tr>
      <w:tr>
        <w:trPr>
          <w:trHeight w:val="360" w:hRule="atLeast"/>
        </w:trPr>
        <w:tc>
          <w:tcPr>
            <w:tcW w:w="0" w:type="auto"/>
            <w:vAlign w:val="center"/>
          </w:tcPr>
          <w:p>
            <w:pPr>
              <w:spacing w:before="0" w:after="0"/>
            </w:pPr>
            <w:r>
              <w:rPr>
                <w:color w:val="2d2d2d"/>
                <w:sz w:val="18"/>
              </w:rPr>
              <w:t>2025-07-23</w:t>
            </w:r>
          </w:p>
        </w:tc>
        <w:tc>
          <w:tcPr>
            <w:tcW w:w="0" w:type="auto"/>
            <w:vAlign w:val="center"/>
          </w:tcPr>
          <w:p>
            <w:pPr>
              <w:spacing w:before="0" w:after="0"/>
            </w:pPr>
            <w:r>
              <w:rPr>
                <w:color w:val="2d2d2d"/>
                <w:sz w:val="18"/>
              </w:rPr>
              <w:t>Unlawful salary deduction: 40.47% (R14,811.77) deducted without consultation while between psychiatric admissions</w:t>
            </w:r>
          </w:p>
        </w:tc>
        <w:tc>
          <w:tcPr>
            <w:tcW w:w="0" w:type="auto"/>
            <w:shd w:val="clear" w:fill="fff3cd"/>
            <w:vAlign w:val="center"/>
          </w:tcPr>
          <w:p>
            <w:pPr>
              <w:spacing w:before="0" w:after="0"/>
            </w:pPr>
            <w:r>
              <w:rPr>
                <w:b/>
                <w:color w:val="c41e3a"/>
                <w:sz w:val="18"/>
              </w:rPr>
              <w:t>Exceeds BCEA s34(2) 25% cap - financial detriment during medical vulnerability</w:t>
            </w:r>
          </w:p>
        </w:tc>
        <w:tc>
          <w:tcPr>
            <w:tcW w:w="0" w:type="auto"/>
            <w:vAlign w:val="center"/>
          </w:tcPr>
          <w:p>
            <w:pPr>
              <w:spacing w:before="0" w:after="0"/>
              <w:jc w:val="center"/>
            </w:pPr>
            <w:r>
              <w:rPr>
                <w:color w:val="4a4a4a"/>
                <w:sz w:val="18"/>
              </w:rPr>
              <w:t>5</w:t>
            </w:r>
          </w:p>
        </w:tc>
      </w:tr>
      <w:tr>
        <w:trPr>
          <w:trHeight w:val="360" w:hRule="atLeast"/>
        </w:trPr>
        <w:tc>
          <w:tcPr>
            <w:tcW w:w="0" w:type="auto"/>
            <w:vAlign w:val="center"/>
          </w:tcPr>
          <w:p>
            <w:pPr>
              <w:spacing w:before="0" w:after="0"/>
            </w:pPr>
            <w:r>
              <w:rPr>
                <w:color w:val="2d2d2d"/>
                <w:sz w:val="18"/>
              </w:rPr>
              <w:t>2025-09-23</w:t>
            </w:r>
          </w:p>
        </w:tc>
        <w:tc>
          <w:tcPr>
            <w:tcW w:w="0" w:type="auto"/>
            <w:vAlign w:val="center"/>
          </w:tcPr>
          <w:p>
            <w:pPr>
              <w:spacing w:before="0" w:after="0"/>
            </w:pPr>
            <w:r>
              <w:rPr>
                <w:color w:val="2d2d2d"/>
                <w:sz w:val="18"/>
              </w:rPr>
              <w:t>Gender identity discrimination: Jones posts 'Wilma' in team Teams channel</w:t>
            </w:r>
          </w:p>
        </w:tc>
        <w:tc>
          <w:tcPr>
            <w:tcW w:w="0" w:type="auto"/>
            <w:shd w:val="clear" w:fill="fff3cd"/>
            <w:vAlign w:val="center"/>
          </w:tcPr>
          <w:p>
            <w:pPr>
              <w:spacing w:before="0" w:after="0"/>
            </w:pPr>
            <w:r>
              <w:rPr>
                <w:b/>
                <w:color w:val="c41e3a"/>
                <w:sz w:val="18"/>
              </w:rPr>
              <w:t>Discriminatory conduct creating hostile environment - protected ground violation</w:t>
            </w:r>
          </w:p>
        </w:tc>
        <w:tc>
          <w:tcPr>
            <w:tcW w:w="0" w:type="auto"/>
            <w:vAlign w:val="center"/>
          </w:tcPr>
          <w:p>
            <w:pPr>
              <w:spacing w:before="0" w:after="0"/>
              <w:jc w:val="center"/>
            </w:pPr>
            <w:r>
              <w:rPr>
                <w:color w:val="4a4a4a"/>
                <w:sz w:val="18"/>
              </w:rPr>
              <w:t>6</w:t>
            </w:r>
          </w:p>
        </w:tc>
      </w:tr>
      <w:tr>
        <w:trPr>
          <w:trHeight w:val="360" w:hRule="atLeast"/>
        </w:trPr>
        <w:tc>
          <w:tcPr>
            <w:tcW w:w="0" w:type="auto"/>
            <w:vAlign w:val="center"/>
          </w:tcPr>
          <w:p>
            <w:pPr>
              <w:spacing w:before="0" w:after="0"/>
            </w:pPr>
            <w:r>
              <w:rPr>
                <w:color w:val="2d2d2d"/>
                <w:sz w:val="18"/>
              </w:rPr>
              <w:t>2025-10-01</w:t>
            </w:r>
          </w:p>
        </w:tc>
        <w:tc>
          <w:tcPr>
            <w:tcW w:w="0" w:type="auto"/>
            <w:vAlign w:val="center"/>
          </w:tcPr>
          <w:p>
            <w:pPr>
              <w:spacing w:before="0" w:after="0"/>
            </w:pPr>
            <w:r>
              <w:rPr>
                <w:color w:val="2d2d2d"/>
                <w:sz w:val="18"/>
              </w:rPr>
              <w:t>Mashele closes discrimination complaint as 'typo' - Matthee remains in Jones's reporting line</w:t>
            </w:r>
          </w:p>
        </w:tc>
        <w:tc>
          <w:tcPr>
            <w:tcW w:w="0" w:type="auto"/>
            <w:shd w:val="clear" w:fill="fff3cd"/>
            <w:vAlign w:val="center"/>
          </w:tcPr>
          <w:p>
            <w:pPr>
              <w:spacing w:before="0" w:after="0"/>
            </w:pPr>
            <w:r>
              <w:rPr>
                <w:b/>
                <w:color w:val="c41e3a"/>
                <w:sz w:val="18"/>
              </w:rPr>
              <w:t>Whitewash of serious complaint - failure to remove from hostile manager</w:t>
            </w:r>
          </w:p>
        </w:tc>
        <w:tc>
          <w:tcPr>
            <w:tcW w:w="0" w:type="auto"/>
            <w:vAlign w:val="center"/>
          </w:tcPr>
          <w:p>
            <w:pPr>
              <w:spacing w:before="0" w:after="0"/>
              <w:jc w:val="center"/>
            </w:pPr>
            <w:r>
              <w:rPr>
                <w:color w:val="4a4a4a"/>
                <w:sz w:val="18"/>
              </w:rPr>
              <w:t>7</w:t>
            </w:r>
          </w:p>
        </w:tc>
      </w:tr>
      <w:tr>
        <w:trPr>
          <w:trHeight w:val="360" w:hRule="atLeast"/>
        </w:trPr>
        <w:tc>
          <w:tcPr>
            <w:tcW w:w="0" w:type="auto"/>
            <w:vAlign w:val="center"/>
          </w:tcPr>
          <w:p>
            <w:pPr>
              <w:spacing w:before="0" w:after="0"/>
            </w:pPr>
            <w:r>
              <w:rPr>
                <w:color w:val="2d2d2d"/>
                <w:sz w:val="18"/>
              </w:rPr>
              <w:t>2025-10-23</w:t>
            </w:r>
          </w:p>
        </w:tc>
        <w:tc>
          <w:tcPr>
            <w:tcW w:w="0" w:type="auto"/>
            <w:vAlign w:val="center"/>
          </w:tcPr>
          <w:p>
            <w:pPr>
              <w:spacing w:before="0" w:after="0"/>
            </w:pPr>
            <w:r>
              <w:rPr>
                <w:color w:val="2d2d2d"/>
                <w:sz w:val="18"/>
              </w:rPr>
              <w:t>Protected disclosure (patient safety): Matthee identifies Gexus-DMS system integration gap</w:t>
            </w:r>
          </w:p>
        </w:tc>
        <w:tc>
          <w:tcPr>
            <w:tcW w:w="0" w:type="auto"/>
            <w:shd w:val="clear" w:fill="fff3cd"/>
            <w:vAlign w:val="center"/>
          </w:tcPr>
          <w:p>
            <w:pPr>
              <w:spacing w:before="0" w:after="0"/>
            </w:pPr>
            <w:r>
              <w:rPr>
                <w:b/>
                <w:color w:val="c41e3a"/>
                <w:sz w:val="18"/>
              </w:rPr>
              <w:t>PDA disclosure rejected - professional judgment overridden</w:t>
            </w:r>
          </w:p>
        </w:tc>
        <w:tc>
          <w:tcPr>
            <w:tcW w:w="0" w:type="auto"/>
            <w:vAlign w:val="center"/>
          </w:tcPr>
          <w:p>
            <w:pPr>
              <w:spacing w:before="0" w:after="0"/>
              <w:jc w:val="center"/>
            </w:pPr>
            <w:r>
              <w:rPr>
                <w:color w:val="4a4a4a"/>
                <w:sz w:val="18"/>
              </w:rPr>
              <w:t>8</w:t>
            </w:r>
          </w:p>
        </w:tc>
      </w:tr>
      <w:tr>
        <w:trPr>
          <w:trHeight w:val="360" w:hRule="atLeast"/>
        </w:trPr>
        <w:tc>
          <w:tcPr>
            <w:tcW w:w="0" w:type="auto"/>
            <w:vAlign w:val="center"/>
          </w:tcPr>
          <w:p>
            <w:pPr>
              <w:spacing w:before="0" w:after="0"/>
            </w:pPr>
            <w:r>
              <w:rPr>
                <w:color w:val="2d2d2d"/>
                <w:sz w:val="18"/>
              </w:rPr>
              <w:t>2025-10-31</w:t>
            </w:r>
          </w:p>
        </w:tc>
        <w:tc>
          <w:tcPr>
            <w:tcW w:w="0" w:type="auto"/>
            <w:vAlign w:val="center"/>
          </w:tcPr>
          <w:p>
            <w:pPr>
              <w:spacing w:before="0" w:after="0"/>
            </w:pPr>
            <w:r>
              <w:rPr>
                <w:color w:val="2d2d2d"/>
                <w:sz w:val="18"/>
              </w:rPr>
              <w:t>Recorded admission of retaliatory motive: Jones states 'You made a case against me, so I can make a case against you'</w:t>
            </w:r>
          </w:p>
        </w:tc>
        <w:tc>
          <w:tcPr>
            <w:tcW w:w="0" w:type="auto"/>
            <w:shd w:val="clear" w:fill="fff3cd"/>
            <w:vAlign w:val="center"/>
          </w:tcPr>
          <w:p>
            <w:pPr>
              <w:spacing w:before="0" w:after="0"/>
            </w:pPr>
            <w:r>
              <w:rPr>
                <w:b/>
                <w:color w:val="c41e3a"/>
                <w:sz w:val="18"/>
              </w:rPr>
              <w:t>Direct evidence of PDA breach and retaliatory intent</w:t>
            </w:r>
          </w:p>
        </w:tc>
        <w:tc>
          <w:tcPr>
            <w:tcW w:w="0" w:type="auto"/>
            <w:vAlign w:val="center"/>
          </w:tcPr>
          <w:p>
            <w:pPr>
              <w:spacing w:before="0" w:after="0"/>
              <w:jc w:val="center"/>
            </w:pPr>
            <w:r>
              <w:rPr>
                <w:color w:val="4a4a4a"/>
                <w:sz w:val="18"/>
              </w:rPr>
              <w:t>9</w:t>
            </w:r>
          </w:p>
        </w:tc>
      </w:tr>
      <w:tr>
        <w:trPr>
          <w:trHeight w:val="360" w:hRule="atLeast"/>
        </w:trPr>
        <w:tc>
          <w:tcPr>
            <w:tcW w:w="0" w:type="auto"/>
            <w:vAlign w:val="center"/>
          </w:tcPr>
          <w:p>
            <w:pPr>
              <w:spacing w:before="0" w:after="0"/>
            </w:pPr>
            <w:r>
              <w:rPr>
                <w:color w:val="2d2d2d"/>
                <w:sz w:val="18"/>
              </w:rPr>
              <w:t>2025-11-02</w:t>
            </w:r>
          </w:p>
        </w:tc>
        <w:tc>
          <w:tcPr>
            <w:tcW w:w="0" w:type="auto"/>
            <w:vAlign w:val="center"/>
          </w:tcPr>
          <w:p>
            <w:pPr>
              <w:spacing w:before="0" w:after="0"/>
            </w:pPr>
            <w:r>
              <w:rPr>
                <w:color w:val="2d2d2d"/>
                <w:sz w:val="18"/>
              </w:rPr>
              <w:t>Formal grievance against Mary-Ann Jones - 30+ days institutional silence begins</w:t>
            </w:r>
          </w:p>
        </w:tc>
        <w:tc>
          <w:tcPr>
            <w:tcW w:w="0" w:type="auto"/>
            <w:shd w:val="clear" w:fill="fff3cd"/>
            <w:vAlign w:val="center"/>
          </w:tcPr>
          <w:p>
            <w:pPr>
              <w:spacing w:before="0" w:after="0"/>
            </w:pPr>
            <w:r>
              <w:rPr>
                <w:b/>
                <w:color w:val="c41e3a"/>
                <w:sz w:val="18"/>
              </w:rPr>
              <w:t>Systemic failure to address grievances - constructive dismissal foundation</w:t>
            </w:r>
          </w:p>
        </w:tc>
        <w:tc>
          <w:tcPr>
            <w:tcW w:w="0" w:type="auto"/>
            <w:vAlign w:val="center"/>
          </w:tcPr>
          <w:p>
            <w:pPr>
              <w:spacing w:before="0" w:after="0"/>
              <w:jc w:val="center"/>
            </w:pPr>
            <w:r>
              <w:rPr>
                <w:color w:val="4a4a4a"/>
                <w:sz w:val="18"/>
              </w:rPr>
              <w:t>10</w:t>
            </w:r>
          </w:p>
        </w:tc>
      </w:tr>
      <w:tr>
        <w:trPr>
          <w:trHeight w:val="360" w:hRule="atLeast"/>
        </w:trPr>
        <w:tc>
          <w:tcPr>
            <w:tcW w:w="0" w:type="auto"/>
            <w:vAlign w:val="center"/>
          </w:tcPr>
          <w:p>
            <w:pPr>
              <w:spacing w:before="0" w:after="0"/>
            </w:pPr>
            <w:r>
              <w:rPr>
                <w:color w:val="2d2d2d"/>
                <w:sz w:val="18"/>
              </w:rPr>
              <w:t>2025-12-10</w:t>
            </w:r>
          </w:p>
        </w:tc>
        <w:tc>
          <w:tcPr>
            <w:tcW w:w="0" w:type="auto"/>
            <w:vAlign w:val="center"/>
          </w:tcPr>
          <w:p>
            <w:pPr>
              <w:spacing w:before="0" w:after="0"/>
            </w:pPr>
            <w:r>
              <w:rPr>
                <w:color w:val="2d2d2d"/>
                <w:sz w:val="18"/>
              </w:rPr>
              <w:t>Employer's Opposing Affidavit characterises depression as 'cynical excuse', 'untruthful character'</w:t>
            </w:r>
          </w:p>
        </w:tc>
        <w:tc>
          <w:tcPr>
            <w:tcW w:w="0" w:type="auto"/>
            <w:shd w:val="clear" w:fill="fff3cd"/>
            <w:vAlign w:val="center"/>
          </w:tcPr>
          <w:p>
            <w:pPr>
              <w:spacing w:before="0" w:after="0"/>
            </w:pPr>
            <w:r>
              <w:rPr>
                <w:b/>
                <w:color w:val="c41e3a"/>
                <w:sz w:val="18"/>
              </w:rPr>
              <w:t>Bad faith litigation - personal attacks under oath - final intolerable act</w:t>
            </w:r>
          </w:p>
        </w:tc>
        <w:tc>
          <w:tcPr>
            <w:tcW w:w="0" w:type="auto"/>
            <w:vAlign w:val="center"/>
          </w:tcPr>
          <w:p>
            <w:pPr>
              <w:spacing w:before="0" w:after="0"/>
              <w:jc w:val="center"/>
            </w:pPr>
            <w:r>
              <w:rPr>
                <w:color w:val="4a4a4a"/>
                <w:sz w:val="18"/>
              </w:rPr>
              <w:t>11</w:t>
            </w:r>
          </w:p>
        </w:tc>
      </w:tr>
      <w:tr>
        <w:trPr>
          <w:trHeight w:val="360" w:hRule="atLeast"/>
        </w:trPr>
        <w:tc>
          <w:tcPr>
            <w:tcW w:w="0" w:type="auto"/>
            <w:vAlign w:val="center"/>
          </w:tcPr>
          <w:p>
            <w:pPr>
              <w:spacing w:before="0" w:after="0"/>
            </w:pPr>
            <w:r>
              <w:rPr>
                <w:color w:val="2d2d2d"/>
                <w:sz w:val="18"/>
              </w:rPr>
              <w:t>2025-12-12</w:t>
            </w:r>
          </w:p>
        </w:tc>
        <w:tc>
          <w:tcPr>
            <w:tcW w:w="0" w:type="auto"/>
            <w:vAlign w:val="center"/>
          </w:tcPr>
          <w:p>
            <w:pPr>
              <w:spacing w:before="0" w:after="0"/>
            </w:pPr>
            <w:r>
              <w:rPr>
                <w:color w:val="2d2d2d"/>
                <w:sz w:val="18"/>
              </w:rPr>
              <w:t>Resignation effective - employment terminated due to intolerable conditions</w:t>
            </w:r>
          </w:p>
        </w:tc>
        <w:tc>
          <w:tcPr>
            <w:tcW w:w="0" w:type="auto"/>
            <w:shd w:val="clear" w:fill="fff3cd"/>
            <w:vAlign w:val="center"/>
          </w:tcPr>
          <w:p>
            <w:pPr>
              <w:spacing w:before="0" w:after="0"/>
            </w:pPr>
            <w:r>
              <w:rPr>
                <w:b/>
                <w:color w:val="c41e3a"/>
                <w:sz w:val="18"/>
              </w:rPr>
              <w:t>Constructive dismissal executed - occupational detriment complete</w:t>
            </w:r>
          </w:p>
        </w:tc>
        <w:tc>
          <w:tcPr>
            <w:tcW w:w="0" w:type="auto"/>
            <w:vAlign w:val="center"/>
          </w:tcPr>
          <w:p>
            <w:pPr>
              <w:spacing w:before="0" w:after="0"/>
              <w:jc w:val="center"/>
            </w:pPr>
            <w:r>
              <w:rPr>
                <w:color w:val="4a4a4a"/>
                <w:sz w:val="18"/>
              </w:rPr>
              <w:t>12</w:t>
            </w:r>
          </w:p>
        </w:tc>
      </w:tr>
    </w:tbl>
    <w:p>
      <w:pPr>
        <w:spacing w:before="200" w:after="100"/>
      </w:pPr>
      <w:r>
        <w:rPr>
          <w:i/>
          <w:color w:val="6a6a6a"/>
          <w:sz w:val="18"/>
        </w:rPr>
        <w:t>Additional entries can be added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4000"/>
        <w:gridCol w:w="3800"/>
        <w:gridCol w:w="1000"/>
      </w:tblGrid>
      <w:tr>
        <w:trPr>
          <w:trHeight w:val="500" w:hRule="atLeast"/>
        </w:trPr>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r>
    </w:tbl>
    <w:p>
      <w:r>
        <w:br w:type="page"/>
      </w:r>
    </w:p>
    <w:p>
      <w:pPr>
        <w:pStyle w:val="Heading1"/>
      </w:pPr>
      <w:r>
        <w:t>TABLE 2: KEY PATTERN IDENTIFICATION</w:t>
      </w:r>
    </w:p>
    <w:p>
      <w:pPr>
        <w:spacing w:before="120" w:after="300"/>
        <w:jc w:val="both"/>
      </w:pPr>
      <w:r>
        <w:rPr>
          <w:i/>
          <w:color w:val="4a4a4a"/>
          <w:sz w:val="20"/>
        </w:rPr>
        <w:t>This table identifies recurring patterns of conduct that demonstrate systematic institutional failures. Each pattern represents a violation of workplace rights and contributed cumulatively to the occupational detriment suffered.</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2200"/>
        <w:gridCol w:w="3800"/>
        <w:gridCol w:w="4000"/>
      </w:tblGrid>
      <w:tr>
        <w:trPr>
          <w:tblHeader/>
          <w:trHeight w:val="400" w:hRule="atLeast"/>
        </w:trPr>
        <w:tc>
          <w:tcPr>
            <w:tcW w:w="0" w:type="auto"/>
            <w:shd w:val="clear" w:fill="1a1f2e"/>
            <w:vAlign w:val="center"/>
          </w:tcPr>
          <w:p>
            <w:pPr>
              <w:spacing w:before="0" w:after="0"/>
              <w:jc w:val="center"/>
            </w:pPr>
            <w:r>
              <w:rPr>
                <w:b/>
                <w:color w:val="d4af37"/>
                <w:sz w:val="20"/>
              </w:rPr>
              <w:t>Pattern Category</w:t>
            </w:r>
          </w:p>
        </w:tc>
        <w:tc>
          <w:tcPr>
            <w:tcW w:w="0" w:type="auto"/>
            <w:shd w:val="clear" w:fill="1a1f2e"/>
            <w:vAlign w:val="center"/>
          </w:tcPr>
          <w:p>
            <w:pPr>
              <w:spacing w:before="0" w:after="0"/>
              <w:jc w:val="center"/>
            </w:pPr>
            <w:r>
              <w:rPr>
                <w:b/>
                <w:color w:val="d4af37"/>
                <w:sz w:val="20"/>
              </w:rPr>
              <w:t>Evidence</w:t>
            </w:r>
          </w:p>
        </w:tc>
        <w:tc>
          <w:tcPr>
            <w:tcW w:w="0" w:type="auto"/>
            <w:shd w:val="clear" w:fill="1a1f2e"/>
            <w:vAlign w:val="center"/>
          </w:tcPr>
          <w:p>
            <w:pPr>
              <w:spacing w:before="0" w:after="0"/>
              <w:jc w:val="center"/>
            </w:pPr>
            <w:r>
              <w:rPr>
                <w:b/>
                <w:color w:val="d4af37"/>
                <w:sz w:val="20"/>
              </w:rPr>
              <w:t>Occupational Detriment Impact</w:t>
            </w:r>
          </w:p>
        </w:tc>
      </w:tr>
      <w:tr>
        <w:trPr>
          <w:trHeight w:val="400" w:hRule="atLeast"/>
        </w:trPr>
        <w:tc>
          <w:tcPr>
            <w:tcW w:w="0" w:type="auto"/>
            <w:vAlign w:val="center"/>
          </w:tcPr>
          <w:p>
            <w:pPr>
              <w:spacing w:before="0" w:after="0"/>
            </w:pPr>
            <w:r>
              <w:rPr>
                <w:b/>
                <w:color w:val="1a1f2e"/>
                <w:sz w:val="18"/>
              </w:rPr>
              <w:t>Retaliatory Conduct</w:t>
            </w:r>
          </w:p>
        </w:tc>
        <w:tc>
          <w:tcPr>
            <w:tcW w:w="0" w:type="auto"/>
            <w:vAlign w:val="center"/>
          </w:tcPr>
          <w:p>
            <w:pPr>
              <w:spacing w:before="0" w:after="0"/>
            </w:pPr>
            <w:r>
              <w:rPr>
                <w:color w:val="2d2d2d"/>
                <w:sz w:val="18"/>
              </w:rPr>
              <w:t>Recorded statement: 'You made a case against me, so I can make a case against you'; punitive unpaid leave entries; 'ripple effect' threats</w:t>
            </w:r>
          </w:p>
        </w:tc>
        <w:tc>
          <w:tcPr>
            <w:tcW w:w="0" w:type="auto"/>
            <w:shd w:val="clear" w:fill="fff3cd"/>
            <w:vAlign w:val="center"/>
          </w:tcPr>
          <w:p>
            <w:pPr>
              <w:spacing w:before="0" w:after="0"/>
            </w:pPr>
            <w:r>
              <w:rPr>
                <w:color w:val="c41e3a"/>
                <w:sz w:val="18"/>
              </w:rPr>
              <w:t>Created climate of fear and intimidation; suppressed legitimate grievances</w:t>
            </w:r>
          </w:p>
        </w:tc>
      </w:tr>
      <w:tr>
        <w:trPr>
          <w:trHeight w:val="400" w:hRule="atLeast"/>
        </w:trPr>
        <w:tc>
          <w:tcPr>
            <w:tcW w:w="0" w:type="auto"/>
            <w:vAlign w:val="center"/>
          </w:tcPr>
          <w:p>
            <w:pPr>
              <w:spacing w:before="0" w:after="0"/>
            </w:pPr>
            <w:r>
              <w:rPr>
                <w:b/>
                <w:color w:val="1a1f2e"/>
                <w:sz w:val="18"/>
              </w:rPr>
              <w:t>Discriminatory Behaviour</w:t>
            </w:r>
          </w:p>
        </w:tc>
        <w:tc>
          <w:tcPr>
            <w:tcW w:w="0" w:type="auto"/>
            <w:vAlign w:val="center"/>
          </w:tcPr>
          <w:p>
            <w:pPr>
              <w:spacing w:before="0" w:after="0"/>
            </w:pPr>
            <w:r>
              <w:rPr>
                <w:color w:val="2d2d2d"/>
                <w:sz w:val="18"/>
              </w:rPr>
              <w:t>'Wilma' incident; gender-based targeting; dismissal of discrimination complaint as 'typo'</w:t>
            </w:r>
          </w:p>
        </w:tc>
        <w:tc>
          <w:tcPr>
            <w:tcW w:w="0" w:type="auto"/>
            <w:shd w:val="clear" w:fill="fff3cd"/>
            <w:vAlign w:val="center"/>
          </w:tcPr>
          <w:p>
            <w:pPr>
              <w:spacing w:before="0" w:after="0"/>
            </w:pPr>
            <w:r>
              <w:rPr>
                <w:color w:val="c41e3a"/>
                <w:sz w:val="18"/>
              </w:rPr>
              <w:t>Violated dignity and equality rights; hostile work environment</w:t>
            </w:r>
          </w:p>
        </w:tc>
      </w:tr>
      <w:tr>
        <w:trPr>
          <w:trHeight w:val="400" w:hRule="atLeast"/>
        </w:trPr>
        <w:tc>
          <w:tcPr>
            <w:tcW w:w="0" w:type="auto"/>
            <w:vAlign w:val="center"/>
          </w:tcPr>
          <w:p>
            <w:pPr>
              <w:spacing w:before="0" w:after="0"/>
            </w:pPr>
            <w:r>
              <w:rPr>
                <w:b/>
                <w:color w:val="1a1f2e"/>
                <w:sz w:val="18"/>
              </w:rPr>
              <w:t>Failure to Accommodate</w:t>
            </w:r>
          </w:p>
        </w:tc>
        <w:tc>
          <w:tcPr>
            <w:tcW w:w="0" w:type="auto"/>
            <w:vAlign w:val="center"/>
          </w:tcPr>
          <w:p>
            <w:pPr>
              <w:spacing w:before="0" w:after="0"/>
            </w:pPr>
            <w:r>
              <w:rPr>
                <w:color w:val="2d2d2d"/>
                <w:sz w:val="18"/>
              </w:rPr>
              <w:t>No reasonable accommodation for medical crisis; 40.47% deduction during psychiatric treatment; refusal to stagger deductions</w:t>
            </w:r>
          </w:p>
        </w:tc>
        <w:tc>
          <w:tcPr>
            <w:tcW w:w="0" w:type="auto"/>
            <w:shd w:val="clear" w:fill="fff3cd"/>
            <w:vAlign w:val="center"/>
          </w:tcPr>
          <w:p>
            <w:pPr>
              <w:spacing w:before="0" w:after="0"/>
            </w:pPr>
            <w:r>
              <w:rPr>
                <w:color w:val="c41e3a"/>
                <w:sz w:val="18"/>
              </w:rPr>
              <w:t>Aggravated mental health condition; financial hardship during vulnerability</w:t>
            </w:r>
          </w:p>
        </w:tc>
      </w:tr>
      <w:tr>
        <w:trPr>
          <w:trHeight w:val="400" w:hRule="atLeast"/>
        </w:trPr>
        <w:tc>
          <w:tcPr>
            <w:tcW w:w="0" w:type="auto"/>
            <w:vAlign w:val="center"/>
          </w:tcPr>
          <w:p>
            <w:pPr>
              <w:spacing w:before="0" w:after="0"/>
            </w:pPr>
            <w:r>
              <w:rPr>
                <w:b/>
                <w:color w:val="1a1f2e"/>
                <w:sz w:val="18"/>
              </w:rPr>
              <w:t>Institutional Silence</w:t>
            </w:r>
          </w:p>
        </w:tc>
        <w:tc>
          <w:tcPr>
            <w:tcW w:w="0" w:type="auto"/>
            <w:vAlign w:val="center"/>
          </w:tcPr>
          <w:p>
            <w:pPr>
              <w:spacing w:before="0" w:after="0"/>
            </w:pPr>
            <w:r>
              <w:rPr>
                <w:color w:val="2d2d2d"/>
                <w:sz w:val="18"/>
              </w:rPr>
              <w:t>30+ days no response to grievance; Board ignored humanitarian notices; invalid email deflections</w:t>
            </w:r>
          </w:p>
        </w:tc>
        <w:tc>
          <w:tcPr>
            <w:tcW w:w="0" w:type="auto"/>
            <w:shd w:val="clear" w:fill="fff3cd"/>
            <w:vAlign w:val="center"/>
          </w:tcPr>
          <w:p>
            <w:pPr>
              <w:spacing w:before="0" w:after="0"/>
            </w:pPr>
            <w:r>
              <w:rPr>
                <w:color w:val="c41e3a"/>
                <w:sz w:val="18"/>
              </w:rPr>
              <w:t>Denied access to internal remedies; forced external escalation</w:t>
            </w:r>
          </w:p>
        </w:tc>
      </w:tr>
      <w:tr>
        <w:trPr>
          <w:trHeight w:val="400" w:hRule="atLeast"/>
        </w:trPr>
        <w:tc>
          <w:tcPr>
            <w:tcW w:w="0" w:type="auto"/>
            <w:vAlign w:val="center"/>
          </w:tcPr>
          <w:p>
            <w:pPr>
              <w:spacing w:before="0" w:after="0"/>
            </w:pPr>
            <w:r>
              <w:rPr>
                <w:b/>
                <w:color w:val="1a1f2e"/>
                <w:sz w:val="18"/>
              </w:rPr>
              <w:t>Title Suppression</w:t>
            </w:r>
          </w:p>
        </w:tc>
        <w:tc>
          <w:tcPr>
            <w:tcW w:w="0" w:type="auto"/>
            <w:vAlign w:val="center"/>
          </w:tcPr>
          <w:p>
            <w:pPr>
              <w:spacing w:before="0" w:after="0"/>
            </w:pPr>
            <w:r>
              <w:rPr>
                <w:color w:val="2d2d2d"/>
                <w:sz w:val="18"/>
              </w:rPr>
              <w:t>Recruited as Specialist, contracted as Coordinator; Certificate of Service misrepresentation</w:t>
            </w:r>
          </w:p>
        </w:tc>
        <w:tc>
          <w:tcPr>
            <w:tcW w:w="0" w:type="auto"/>
            <w:shd w:val="clear" w:fill="fff3cd"/>
            <w:vAlign w:val="center"/>
          </w:tcPr>
          <w:p>
            <w:pPr>
              <w:spacing w:before="0" w:after="0"/>
            </w:pPr>
            <w:r>
              <w:rPr>
                <w:color w:val="c41e3a"/>
                <w:sz w:val="18"/>
              </w:rPr>
              <w:t>Career progression blocked; professional status undermined</w:t>
            </w:r>
          </w:p>
        </w:tc>
      </w:tr>
      <w:tr>
        <w:trPr>
          <w:trHeight w:val="400" w:hRule="atLeast"/>
        </w:trPr>
        <w:tc>
          <w:tcPr>
            <w:tcW w:w="0" w:type="auto"/>
            <w:vAlign w:val="center"/>
          </w:tcPr>
          <w:p>
            <w:pPr>
              <w:spacing w:before="0" w:after="0"/>
            </w:pPr>
            <w:r>
              <w:rPr>
                <w:b/>
                <w:color w:val="1a1f2e"/>
                <w:sz w:val="18"/>
              </w:rPr>
              <w:t>Protected Disclosure Retaliation</w:t>
            </w:r>
          </w:p>
        </w:tc>
        <w:tc>
          <w:tcPr>
            <w:tcW w:w="0" w:type="auto"/>
            <w:vAlign w:val="center"/>
          </w:tcPr>
          <w:p>
            <w:pPr>
              <w:spacing w:before="0" w:after="0"/>
            </w:pPr>
            <w:r>
              <w:rPr>
                <w:color w:val="2d2d2d"/>
                <w:sz w:val="18"/>
              </w:rPr>
              <w:t>Patient safety concerns dismissed; professional judgment overridden; 'insubordination' framing</w:t>
            </w:r>
          </w:p>
        </w:tc>
        <w:tc>
          <w:tcPr>
            <w:tcW w:w="0" w:type="auto"/>
            <w:shd w:val="clear" w:fill="fff3cd"/>
            <w:vAlign w:val="center"/>
          </w:tcPr>
          <w:p>
            <w:pPr>
              <w:spacing w:before="0" w:after="0"/>
            </w:pPr>
            <w:r>
              <w:rPr>
                <w:color w:val="c41e3a"/>
                <w:sz w:val="18"/>
              </w:rPr>
              <w:t>PDA rights violated; ethical professional silenced</w:t>
            </w:r>
          </w:p>
        </w:tc>
      </w:tr>
      <w:tr>
        <w:trPr>
          <w:trHeight w:val="400" w:hRule="atLeast"/>
        </w:trPr>
        <w:tc>
          <w:tcPr>
            <w:tcW w:w="0" w:type="auto"/>
            <w:vAlign w:val="center"/>
          </w:tcPr>
          <w:p>
            <w:pPr>
              <w:spacing w:before="0" w:after="0"/>
            </w:pPr>
            <w:r>
              <w:rPr>
                <w:b/>
                <w:color w:val="1a1f2e"/>
                <w:sz w:val="18"/>
              </w:rPr>
              <w:t>Bad Faith Litigation</w:t>
            </w:r>
          </w:p>
        </w:tc>
        <w:tc>
          <w:tcPr>
            <w:tcW w:w="0" w:type="auto"/>
            <w:vAlign w:val="center"/>
          </w:tcPr>
          <w:p>
            <w:pPr>
              <w:spacing w:before="0" w:after="0"/>
            </w:pPr>
            <w:r>
              <w:rPr>
                <w:color w:val="2d2d2d"/>
                <w:sz w:val="18"/>
              </w:rPr>
              <w:t>Opposing affidavit characterising depression as 'cynical excuse'; request for costs against self-represented litigant</w:t>
            </w:r>
          </w:p>
        </w:tc>
        <w:tc>
          <w:tcPr>
            <w:tcW w:w="0" w:type="auto"/>
            <w:shd w:val="clear" w:fill="fff3cd"/>
            <w:vAlign w:val="center"/>
          </w:tcPr>
          <w:p>
            <w:pPr>
              <w:spacing w:before="0" w:after="0"/>
            </w:pPr>
            <w:r>
              <w:rPr>
                <w:color w:val="c41e3a"/>
                <w:sz w:val="18"/>
              </w:rPr>
              <w:t>Abuse of legal process; psychological warfare</w:t>
            </w:r>
          </w:p>
        </w:tc>
      </w:tr>
      <w:tr>
        <w:trPr>
          <w:trHeight w:val="400" w:hRule="atLeast"/>
        </w:trPr>
        <w:tc>
          <w:tcPr>
            <w:tcW w:w="0" w:type="auto"/>
            <w:vAlign w:val="center"/>
          </w:tcPr>
          <w:p>
            <w:pPr>
              <w:spacing w:before="0" w:after="0"/>
            </w:pPr>
            <w:r>
              <w:rPr>
                <w:b/>
                <w:color w:val="1a1f2e"/>
                <w:sz w:val="18"/>
              </w:rPr>
              <w:t>Gatekeeping</w:t>
            </w:r>
          </w:p>
        </w:tc>
        <w:tc>
          <w:tcPr>
            <w:tcW w:w="0" w:type="auto"/>
            <w:vAlign w:val="center"/>
          </w:tcPr>
          <w:p>
            <w:pPr>
              <w:spacing w:before="0" w:after="0"/>
            </w:pPr>
            <w:r>
              <w:rPr>
                <w:color w:val="2d2d2d"/>
                <w:sz w:val="18"/>
              </w:rPr>
              <w:t>CRO asking Matthee to stop emailing directors; 'impatience does not serve you well'</w:t>
            </w:r>
          </w:p>
        </w:tc>
        <w:tc>
          <w:tcPr>
            <w:tcW w:w="0" w:type="auto"/>
            <w:shd w:val="clear" w:fill="fff3cd"/>
            <w:vAlign w:val="center"/>
          </w:tcPr>
          <w:p>
            <w:pPr>
              <w:spacing w:before="0" w:after="0"/>
            </w:pPr>
            <w:r>
              <w:rPr>
                <w:color w:val="c41e3a"/>
                <w:sz w:val="18"/>
              </w:rPr>
              <w:t>Blocked access to Board oversight; governance rights denied</w:t>
            </w:r>
          </w:p>
        </w:tc>
      </w:tr>
    </w:tbl>
    <w:p>
      <w:pPr>
        <w:spacing w:before="200" w:after="100"/>
      </w:pPr>
      <w:r>
        <w:rPr>
          <w:i/>
          <w:color w:val="6a6a6a"/>
          <w:sz w:val="18"/>
        </w:rPr>
        <w:t>Additional patterns can be documented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2200"/>
        <w:gridCol w:w="3800"/>
        <w:gridCol w:w="4000"/>
      </w:tblGrid>
      <w:tr>
        <w:trPr>
          <w:trHeight w:val="500" w:hRule="atLeast"/>
        </w:trPr>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r>
    </w:tbl>
    <w:p>
      <w:r>
        <w:br w:type="page"/>
      </w:r>
    </w:p>
    <w:p>
      <w:pPr>
        <w:pStyle w:val="Heading1"/>
      </w:pPr>
      <w:r>
        <w:t>TABLE 3: UPDATED - AWAITING FEEDBACK</w:t>
      </w:r>
    </w:p>
    <w:p>
      <w:pPr>
        <w:spacing w:before="120" w:after="300"/>
        <w:jc w:val="both"/>
      </w:pPr>
      <w:r>
        <w:rPr>
          <w:i/>
          <w:color w:val="4a4a4a"/>
          <w:sz w:val="20"/>
        </w:rPr>
        <w:t>This table tracks outstanding matters requiring institutional response. The prolonged silence from regulatory bodies demonstrates systemic failures in accountability mechanisms and access to justice.</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2400"/>
        <w:gridCol w:w="4400"/>
        <w:gridCol w:w="2000"/>
      </w:tblGrid>
      <w:tr>
        <w:trPr>
          <w:tblHeader/>
          <w:trHeight w:val="400" w:hRule="atLeast"/>
        </w:trPr>
        <w:tc>
          <w:tcPr>
            <w:tcW w:w="0" w:type="auto"/>
            <w:shd w:val="clear" w:fill="1a1f2e"/>
            <w:vAlign w:val="center"/>
          </w:tcPr>
          <w:p>
            <w:pPr>
              <w:spacing w:before="0" w:after="0"/>
              <w:jc w:val="center"/>
            </w:pPr>
            <w:r>
              <w:rPr>
                <w:b/>
                <w:color w:val="d4af37"/>
                <w:sz w:val="20"/>
              </w:rPr>
              <w:t>Date</w:t>
            </w:r>
          </w:p>
        </w:tc>
        <w:tc>
          <w:tcPr>
            <w:tcW w:w="0" w:type="auto"/>
            <w:shd w:val="clear" w:fill="1a1f2e"/>
            <w:vAlign w:val="center"/>
          </w:tcPr>
          <w:p>
            <w:pPr>
              <w:spacing w:before="0" w:after="0"/>
              <w:jc w:val="center"/>
            </w:pPr>
            <w:r>
              <w:rPr>
                <w:b/>
                <w:color w:val="d4af37"/>
                <w:sz w:val="20"/>
              </w:rPr>
              <w:t>Regulator/Body</w:t>
            </w:r>
          </w:p>
        </w:tc>
        <w:tc>
          <w:tcPr>
            <w:tcW w:w="0" w:type="auto"/>
            <w:shd w:val="clear" w:fill="1a1f2e"/>
            <w:vAlign w:val="center"/>
          </w:tcPr>
          <w:p>
            <w:pPr>
              <w:spacing w:before="0" w:after="0"/>
              <w:jc w:val="center"/>
            </w:pPr>
            <w:r>
              <w:rPr>
                <w:b/>
                <w:color w:val="d4af37"/>
                <w:sz w:val="20"/>
              </w:rPr>
              <w:t>Matter Awaiting Response</w:t>
            </w:r>
          </w:p>
        </w:tc>
        <w:tc>
          <w:tcPr>
            <w:tcW w:w="0" w:type="auto"/>
            <w:shd w:val="clear" w:fill="1a1f2e"/>
            <w:vAlign w:val="center"/>
          </w:tcPr>
          <w:p>
            <w:pPr>
              <w:spacing w:before="0" w:after="0"/>
              <w:jc w:val="center"/>
            </w:pPr>
            <w:r>
              <w:rPr>
                <w:b/>
                <w:color w:val="d4af37"/>
                <w:sz w:val="20"/>
              </w:rPr>
              <w:t>Days Pending</w:t>
            </w:r>
          </w:p>
        </w:tc>
      </w:tr>
      <w:tr>
        <w:trPr>
          <w:trHeight w:val="360" w:hRule="atLeast"/>
        </w:trPr>
        <w:tc>
          <w:tcPr>
            <w:tcW w:w="0" w:type="auto"/>
            <w:vAlign w:val="center"/>
          </w:tcPr>
          <w:p>
            <w:pPr>
              <w:spacing w:before="0" w:after="0"/>
            </w:pPr>
            <w:r>
              <w:rPr>
                <w:color w:val="2d2d2d"/>
                <w:sz w:val="18"/>
              </w:rPr>
              <w:t>2025-12-23</w:t>
            </w:r>
          </w:p>
        </w:tc>
        <w:tc>
          <w:tcPr>
            <w:tcW w:w="0" w:type="auto"/>
            <w:vAlign w:val="center"/>
          </w:tcPr>
          <w:p>
            <w:pPr>
              <w:spacing w:before="0" w:after="0"/>
            </w:pPr>
            <w:r>
              <w:rPr>
                <w:color w:val="2d2d2d"/>
                <w:sz w:val="18"/>
              </w:rPr>
              <w:t>CMS</w:t>
            </w:r>
          </w:p>
        </w:tc>
        <w:tc>
          <w:tcPr>
            <w:tcW w:w="0" w:type="auto"/>
            <w:vAlign w:val="center"/>
          </w:tcPr>
          <w:p>
            <w:pPr>
              <w:spacing w:before="0" w:after="0"/>
            </w:pPr>
            <w:r>
              <w:rPr>
                <w:color w:val="2d2d2d"/>
                <w:sz w:val="18"/>
              </w:rPr>
              <w:t>Administrator misconduct, Gexus/DMS integration gap generating false non-adherence reports</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pPr>
            <w:r>
              <w:rPr>
                <w:color w:val="2d2d2d"/>
                <w:sz w:val="18"/>
              </w:rPr>
              <w:t>2025-12-23</w:t>
            </w:r>
          </w:p>
        </w:tc>
        <w:tc>
          <w:tcPr>
            <w:tcW w:w="0" w:type="auto"/>
            <w:vAlign w:val="center"/>
          </w:tcPr>
          <w:p>
            <w:pPr>
              <w:spacing w:before="0" w:after="0"/>
            </w:pPr>
            <w:r>
              <w:rPr>
                <w:color w:val="2d2d2d"/>
                <w:sz w:val="18"/>
              </w:rPr>
              <w:t>SAHRC</w:t>
            </w:r>
          </w:p>
        </w:tc>
        <w:tc>
          <w:tcPr>
            <w:tcW w:w="0" w:type="auto"/>
            <w:vAlign w:val="center"/>
          </w:tcPr>
          <w:p>
            <w:pPr>
              <w:spacing w:before="0" w:after="0"/>
            </w:pPr>
            <w:r>
              <w:rPr>
                <w:color w:val="2d2d2d"/>
                <w:sz w:val="18"/>
              </w:rPr>
              <w:t>Systemic governance failures, procedural obstruction, humanitarian crisis</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pPr>
            <w:r>
              <w:rPr>
                <w:color w:val="2d2d2d"/>
                <w:sz w:val="18"/>
              </w:rPr>
              <w:t>2025-12-23</w:t>
            </w:r>
          </w:p>
        </w:tc>
        <w:tc>
          <w:tcPr>
            <w:tcW w:w="0" w:type="auto"/>
            <w:vAlign w:val="center"/>
          </w:tcPr>
          <w:p>
            <w:pPr>
              <w:spacing w:before="0" w:after="0"/>
            </w:pPr>
            <w:r>
              <w:rPr>
                <w:color w:val="2d2d2d"/>
                <w:sz w:val="18"/>
              </w:rPr>
              <w:t>DEL</w:t>
            </w:r>
          </w:p>
        </w:tc>
        <w:tc>
          <w:tcPr>
            <w:tcW w:w="0" w:type="auto"/>
            <w:vAlign w:val="center"/>
          </w:tcPr>
          <w:p>
            <w:pPr>
              <w:spacing w:before="0" w:after="0"/>
            </w:pPr>
            <w:r>
              <w:rPr>
                <w:color w:val="2d2d2d"/>
                <w:sz w:val="18"/>
              </w:rPr>
              <w:t>Unlawful salary deductions, gender discrimination, retaliation, constructive dismissal</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pPr>
            <w:r>
              <w:rPr>
                <w:color w:val="2d2d2d"/>
                <w:sz w:val="18"/>
              </w:rPr>
              <w:t>2025-12-23</w:t>
            </w:r>
          </w:p>
        </w:tc>
        <w:tc>
          <w:tcPr>
            <w:tcW w:w="0" w:type="auto"/>
            <w:vAlign w:val="center"/>
          </w:tcPr>
          <w:p>
            <w:pPr>
              <w:spacing w:before="0" w:after="0"/>
            </w:pPr>
            <w:r>
              <w:rPr>
                <w:color w:val="2d2d2d"/>
                <w:sz w:val="18"/>
              </w:rPr>
              <w:t>JSE</w:t>
            </w:r>
          </w:p>
        </w:tc>
        <w:tc>
          <w:tcPr>
            <w:tcW w:w="0" w:type="auto"/>
            <w:vAlign w:val="center"/>
          </w:tcPr>
          <w:p>
            <w:pPr>
              <w:spacing w:before="0" w:after="0"/>
            </w:pPr>
            <w:r>
              <w:rPr>
                <w:color w:val="2d2d2d"/>
                <w:sz w:val="18"/>
              </w:rPr>
              <w:t>Board governance failure, P1 Material Risk Report ignored, King IV breaches</w:t>
            </w:r>
          </w:p>
        </w:tc>
        <w:tc>
          <w:tcPr>
            <w:tcW w:w="0" w:type="auto"/>
            <w:vAlign w:val="center"/>
          </w:tcPr>
          <w:p>
            <w:pPr>
              <w:spacing w:before="0" w:after="0"/>
              <w:jc w:val="center"/>
            </w:pPr>
            <w:r>
              <w:rPr>
                <w:b/>
                <w:color w:val="c41e3a"/>
                <w:sz w:val="18"/>
              </w:rPr>
              <w:t>100+</w:t>
            </w:r>
          </w:p>
        </w:tc>
      </w:tr>
      <w:tr>
        <w:trPr>
          <w:trHeight w:val="360" w:hRule="atLeast"/>
        </w:trPr>
        <w:tc>
          <w:tcPr>
            <w:tcW w:w="0" w:type="auto"/>
            <w:vAlign w:val="center"/>
          </w:tcPr>
          <w:p>
            <w:pPr>
              <w:spacing w:before="0" w:after="0"/>
            </w:pPr>
            <w:r>
              <w:rPr>
                <w:color w:val="2d2d2d"/>
                <w:sz w:val="18"/>
              </w:rPr>
              <w:t>2026-01-20</w:t>
            </w:r>
          </w:p>
        </w:tc>
        <w:tc>
          <w:tcPr>
            <w:tcW w:w="0" w:type="auto"/>
            <w:vAlign w:val="center"/>
          </w:tcPr>
          <w:p>
            <w:pPr>
              <w:spacing w:before="0" w:after="0"/>
            </w:pPr>
            <w:r>
              <w:rPr>
                <w:color w:val="2d2d2d"/>
                <w:sz w:val="18"/>
              </w:rPr>
              <w:t>JSE (Investigations)</w:t>
            </w:r>
          </w:p>
        </w:tc>
        <w:tc>
          <w:tcPr>
            <w:tcW w:w="0" w:type="auto"/>
            <w:vAlign w:val="center"/>
          </w:tcPr>
          <w:p>
            <w:pPr>
              <w:spacing w:before="0" w:after="0"/>
            </w:pPr>
            <w:r>
              <w:rPr>
                <w:color w:val="2d2d2d"/>
                <w:sz w:val="18"/>
              </w:rPr>
              <w:t>Failed conciliation, employer blocking financial relief, weaponising litigation</w:t>
            </w:r>
          </w:p>
        </w:tc>
        <w:tc>
          <w:tcPr>
            <w:tcW w:w="0" w:type="auto"/>
            <w:vAlign w:val="center"/>
          </w:tcPr>
          <w:p>
            <w:pPr>
              <w:spacing w:before="0" w:after="0"/>
              <w:jc w:val="center"/>
            </w:pPr>
            <w:r>
              <w:rPr>
                <w:b/>
                <w:color w:val="c41e3a"/>
                <w:sz w:val="18"/>
              </w:rPr>
              <w:t>70+</w:t>
            </w:r>
          </w:p>
        </w:tc>
      </w:tr>
      <w:tr>
        <w:trPr>
          <w:trHeight w:val="360" w:hRule="atLeast"/>
        </w:trPr>
        <w:tc>
          <w:tcPr>
            <w:tcW w:w="0" w:type="auto"/>
            <w:vAlign w:val="center"/>
          </w:tcPr>
          <w:p>
            <w:pPr>
              <w:spacing w:before="0" w:after="0"/>
            </w:pPr>
            <w:r>
              <w:rPr>
                <w:color w:val="2d2d2d"/>
                <w:sz w:val="18"/>
              </w:rPr>
              <w:t>2026-02-16</w:t>
            </w:r>
          </w:p>
        </w:tc>
        <w:tc>
          <w:tcPr>
            <w:tcW w:w="0" w:type="auto"/>
            <w:vAlign w:val="center"/>
          </w:tcPr>
          <w:p>
            <w:pPr>
              <w:spacing w:before="0" w:after="0"/>
            </w:pPr>
            <w:r>
              <w:rPr>
                <w:color w:val="2d2d2d"/>
                <w:sz w:val="18"/>
              </w:rPr>
              <w:t>SANC</w:t>
            </w:r>
          </w:p>
        </w:tc>
        <w:tc>
          <w:tcPr>
            <w:tcW w:w="0" w:type="auto"/>
            <w:vAlign w:val="center"/>
          </w:tcPr>
          <w:p>
            <w:pPr>
              <w:spacing w:before="0" w:after="0"/>
            </w:pPr>
            <w:r>
              <w:rPr>
                <w:color w:val="2d2d2d"/>
                <w:sz w:val="18"/>
              </w:rPr>
              <w:t>Professional misconduct against Mary-Ann Jones and Mapule Mashele (nurses)</w:t>
            </w:r>
          </w:p>
        </w:tc>
        <w:tc>
          <w:tcPr>
            <w:tcW w:w="0" w:type="auto"/>
            <w:vAlign w:val="center"/>
          </w:tcPr>
          <w:p>
            <w:pPr>
              <w:spacing w:before="0" w:after="0"/>
              <w:jc w:val="center"/>
            </w:pPr>
            <w:r>
              <w:rPr>
                <w:b/>
                <w:color w:val="c41e3a"/>
                <w:sz w:val="18"/>
              </w:rPr>
              <w:t>45+</w:t>
            </w:r>
          </w:p>
        </w:tc>
      </w:tr>
      <w:tr>
        <w:trPr>
          <w:trHeight w:val="360" w:hRule="atLeast"/>
        </w:trPr>
        <w:tc>
          <w:tcPr>
            <w:tcW w:w="0" w:type="auto"/>
            <w:vAlign w:val="center"/>
          </w:tcPr>
          <w:p>
            <w:pPr>
              <w:spacing w:before="0" w:after="0"/>
            </w:pPr>
            <w:r>
              <w:rPr>
                <w:color w:val="2d2d2d"/>
                <w:sz w:val="18"/>
              </w:rPr>
              <w:t>2026-02-16</w:t>
            </w:r>
          </w:p>
        </w:tc>
        <w:tc>
          <w:tcPr>
            <w:tcW w:w="0" w:type="auto"/>
            <w:vAlign w:val="center"/>
          </w:tcPr>
          <w:p>
            <w:pPr>
              <w:spacing w:before="0" w:after="0"/>
            </w:pPr>
            <w:r>
              <w:rPr>
                <w:color w:val="2d2d2d"/>
                <w:sz w:val="18"/>
              </w:rPr>
              <w:t>SAPC</w:t>
            </w:r>
          </w:p>
        </w:tc>
        <w:tc>
          <w:tcPr>
            <w:tcW w:w="0" w:type="auto"/>
            <w:vAlign w:val="center"/>
          </w:tcPr>
          <w:p>
            <w:pPr>
              <w:spacing w:before="0" w:after="0"/>
            </w:pPr>
            <w:r>
              <w:rPr>
                <w:color w:val="2d2d2d"/>
                <w:sz w:val="18"/>
              </w:rPr>
              <w:t>Unprofessional conduct against Lisa Mari - dismissed system integration gap</w:t>
            </w:r>
          </w:p>
        </w:tc>
        <w:tc>
          <w:tcPr>
            <w:tcW w:w="0" w:type="auto"/>
            <w:vAlign w:val="center"/>
          </w:tcPr>
          <w:p>
            <w:pPr>
              <w:spacing w:before="0" w:after="0"/>
              <w:jc w:val="center"/>
            </w:pPr>
            <w:r>
              <w:rPr>
                <w:b/>
                <w:color w:val="c41e3a"/>
                <w:sz w:val="18"/>
              </w:rPr>
              <w:t>45+</w:t>
            </w:r>
          </w:p>
        </w:tc>
      </w:tr>
      <w:tr>
        <w:trPr>
          <w:trHeight w:val="360" w:hRule="atLeast"/>
        </w:trPr>
        <w:tc>
          <w:tcPr>
            <w:tcW w:w="0" w:type="auto"/>
            <w:vAlign w:val="center"/>
          </w:tcPr>
          <w:p>
            <w:pPr>
              <w:spacing w:before="0" w:after="0"/>
            </w:pPr>
            <w:r>
              <w:rPr>
                <w:color w:val="2d2d2d"/>
                <w:sz w:val="18"/>
              </w:rPr>
              <w:t>2026-02-16</w:t>
            </w:r>
          </w:p>
        </w:tc>
        <w:tc>
          <w:tcPr>
            <w:tcW w:w="0" w:type="auto"/>
            <w:vAlign w:val="center"/>
          </w:tcPr>
          <w:p>
            <w:pPr>
              <w:spacing w:before="0" w:after="0"/>
            </w:pPr>
            <w:r>
              <w:rPr>
                <w:color w:val="2d2d2d"/>
                <w:sz w:val="18"/>
              </w:rPr>
              <w:t>CCMA Ethics</w:t>
            </w:r>
          </w:p>
        </w:tc>
        <w:tc>
          <w:tcPr>
            <w:tcW w:w="0" w:type="auto"/>
            <w:vAlign w:val="center"/>
          </w:tcPr>
          <w:p>
            <w:pPr>
              <w:spacing w:before="0" w:after="0"/>
            </w:pPr>
            <w:r>
              <w:rPr>
                <w:color w:val="2d2d2d"/>
                <w:sz w:val="18"/>
              </w:rPr>
              <w:t>Commissioner bias complaint - Reference 350111 (21+ days feedback promised)</w:t>
            </w:r>
          </w:p>
        </w:tc>
        <w:tc>
          <w:tcPr>
            <w:tcW w:w="0" w:type="auto"/>
            <w:vAlign w:val="center"/>
          </w:tcPr>
          <w:p>
            <w:pPr>
              <w:spacing w:before="0" w:after="0"/>
              <w:jc w:val="center"/>
            </w:pPr>
            <w:r>
              <w:rPr>
                <w:b/>
                <w:color w:val="c41e3a"/>
                <w:sz w:val="18"/>
              </w:rPr>
              <w:t>45+</w:t>
            </w:r>
          </w:p>
        </w:tc>
      </w:tr>
      <w:tr>
        <w:trPr>
          <w:trHeight w:val="360" w:hRule="atLeast"/>
        </w:trPr>
        <w:tc>
          <w:tcPr>
            <w:tcW w:w="0" w:type="auto"/>
            <w:vAlign w:val="center"/>
          </w:tcPr>
          <w:p>
            <w:pPr>
              <w:spacing w:before="0" w:after="0"/>
            </w:pPr>
            <w:r>
              <w:rPr>
                <w:color w:val="2d2d2d"/>
                <w:sz w:val="18"/>
              </w:rPr>
              <w:t>2026-02-19</w:t>
            </w:r>
          </w:p>
        </w:tc>
        <w:tc>
          <w:tcPr>
            <w:tcW w:w="0" w:type="auto"/>
            <w:vAlign w:val="center"/>
          </w:tcPr>
          <w:p>
            <w:pPr>
              <w:spacing w:before="0" w:after="0"/>
            </w:pPr>
            <w:r>
              <w:rPr>
                <w:color w:val="2d2d2d"/>
                <w:sz w:val="18"/>
              </w:rPr>
              <w:t>TWBH/Schroter</w:t>
            </w:r>
          </w:p>
        </w:tc>
        <w:tc>
          <w:tcPr>
            <w:tcW w:w="0" w:type="auto"/>
            <w:vAlign w:val="center"/>
          </w:tcPr>
          <w:p>
            <w:pPr>
              <w:spacing w:before="0" w:after="0"/>
            </w:pPr>
            <w:r>
              <w:rPr>
                <w:color w:val="2d2d2d"/>
                <w:sz w:val="18"/>
              </w:rPr>
              <w:t>Whistleblower protection assessment - referred to Marco van der Walt</w:t>
            </w:r>
          </w:p>
        </w:tc>
        <w:tc>
          <w:tcPr>
            <w:tcW w:w="0" w:type="auto"/>
            <w:vAlign w:val="center"/>
          </w:tcPr>
          <w:p>
            <w:pPr>
              <w:spacing w:before="0" w:after="0"/>
              <w:jc w:val="center"/>
            </w:pPr>
            <w:r>
              <w:rPr>
                <w:b/>
                <w:color w:val="c41e3a"/>
                <w:sz w:val="18"/>
              </w:rPr>
              <w:t>40+</w:t>
            </w:r>
          </w:p>
        </w:tc>
      </w:tr>
      <w:tr>
        <w:trPr>
          <w:trHeight w:val="360" w:hRule="atLeast"/>
        </w:trPr>
        <w:tc>
          <w:tcPr>
            <w:tcW w:w="0" w:type="auto"/>
            <w:vAlign w:val="center"/>
          </w:tcPr>
          <w:p>
            <w:pPr>
              <w:spacing w:before="0" w:after="0"/>
            </w:pPr>
            <w:r>
              <w:rPr>
                <w:color w:val="2d2d2d"/>
                <w:sz w:val="18"/>
              </w:rPr>
              <w:t>2026-03-20</w:t>
            </w:r>
          </w:p>
        </w:tc>
        <w:tc>
          <w:tcPr>
            <w:tcW w:w="0" w:type="auto"/>
            <w:vAlign w:val="center"/>
          </w:tcPr>
          <w:p>
            <w:pPr>
              <w:spacing w:before="0" w:after="0"/>
            </w:pPr>
            <w:r>
              <w:rPr>
                <w:color w:val="2d2d2d"/>
                <w:sz w:val="18"/>
              </w:rPr>
              <w:t>CMS (follow-up)</w:t>
            </w:r>
          </w:p>
        </w:tc>
        <w:tc>
          <w:tcPr>
            <w:tcW w:w="0" w:type="auto"/>
            <w:vAlign w:val="center"/>
          </w:tcPr>
          <w:p>
            <w:pPr>
              <w:spacing w:before="0" w:after="0"/>
            </w:pPr>
            <w:r>
              <w:rPr>
                <w:color w:val="2d2d2d"/>
                <w:sz w:val="18"/>
              </w:rPr>
              <w:t>Uncorrected Gexus/DMS integration error - ongoing patient safety risk</w:t>
            </w:r>
          </w:p>
        </w:tc>
        <w:tc>
          <w:tcPr>
            <w:tcW w:w="0" w:type="auto"/>
            <w:vAlign w:val="center"/>
          </w:tcPr>
          <w:p>
            <w:pPr>
              <w:spacing w:before="0" w:after="0"/>
              <w:jc w:val="center"/>
            </w:pPr>
            <w:r>
              <w:rPr>
                <w:b/>
                <w:color w:val="c41e3a"/>
                <w:sz w:val="18"/>
              </w:rPr>
              <w:t>14+</w:t>
            </w:r>
          </w:p>
        </w:tc>
      </w:tr>
    </w:tbl>
    <w:p>
      <w:pPr>
        <w:spacing w:before="200" w:after="100"/>
      </w:pPr>
      <w:r>
        <w:rPr>
          <w:i/>
          <w:color w:val="6a6a6a"/>
          <w:sz w:val="18"/>
        </w:rPr>
        <w:t>Additional pending matters can be added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2400"/>
        <w:gridCol w:w="4400"/>
        <w:gridCol w:w="2000"/>
      </w:tblGrid>
      <w:tr>
        <w:trPr>
          <w:trHeight w:val="500" w:hRule="atLeast"/>
        </w:trPr>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r>
    </w:tbl>
    <w:p>
      <w:r>
        <w:br w:type="page"/>
      </w:r>
    </w:p>
    <w:p>
      <w:pPr>
        <w:pStyle w:val="Heading1"/>
      </w:pPr>
      <w:r>
        <w:t>TABLE 4: CRITICAL DOCUMENTS REFERENCE IN CORRESPONDENCE</w:t>
      </w:r>
    </w:p>
    <w:p>
      <w:pPr>
        <w:spacing w:before="120" w:after="300"/>
        <w:jc w:val="both"/>
      </w:pPr>
      <w:r>
        <w:rPr>
          <w:i/>
          <w:color w:val="4a4a4a"/>
          <w:sz w:val="20"/>
        </w:rPr>
        <w:t>This table catalogues essential documentary evidence referenced throughout the correspondence. These documents establish the evidentiary foundation for claims of unlawful conduct and institutional failures.</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3000"/>
        <w:gridCol w:w="4200"/>
        <w:gridCol w:w="1600"/>
      </w:tblGrid>
      <w:tr>
        <w:trPr>
          <w:tblHeader/>
          <w:trHeight w:val="400" w:hRule="atLeast"/>
        </w:trPr>
        <w:tc>
          <w:tcPr>
            <w:tcW w:w="0" w:type="auto"/>
            <w:shd w:val="clear" w:fill="1a1f2e"/>
            <w:vAlign w:val="center"/>
          </w:tcPr>
          <w:p>
            <w:pPr>
              <w:spacing w:before="0" w:after="0"/>
              <w:jc w:val="center"/>
            </w:pPr>
            <w:r>
              <w:rPr>
                <w:b/>
                <w:color w:val="d4af37"/>
                <w:sz w:val="20"/>
              </w:rPr>
              <w:t>Date</w:t>
            </w:r>
          </w:p>
        </w:tc>
        <w:tc>
          <w:tcPr>
            <w:tcW w:w="0" w:type="auto"/>
            <w:shd w:val="clear" w:fill="1a1f2e"/>
            <w:vAlign w:val="center"/>
          </w:tcPr>
          <w:p>
            <w:pPr>
              <w:spacing w:before="0" w:after="0"/>
              <w:jc w:val="center"/>
            </w:pPr>
            <w:r>
              <w:rPr>
                <w:b/>
                <w:color w:val="d4af37"/>
                <w:sz w:val="20"/>
              </w:rPr>
              <w:t>Document</w:t>
            </w:r>
          </w:p>
        </w:tc>
        <w:tc>
          <w:tcPr>
            <w:tcW w:w="0" w:type="auto"/>
            <w:shd w:val="clear" w:fill="1a1f2e"/>
            <w:vAlign w:val="center"/>
          </w:tcPr>
          <w:p>
            <w:pPr>
              <w:spacing w:before="0" w:after="0"/>
              <w:jc w:val="center"/>
            </w:pPr>
            <w:r>
              <w:rPr>
                <w:b/>
                <w:color w:val="d4af37"/>
                <w:sz w:val="20"/>
              </w:rPr>
              <w:t>Significance / Evidentiary Value</w:t>
            </w:r>
          </w:p>
        </w:tc>
        <w:tc>
          <w:tcPr>
            <w:tcW w:w="0" w:type="auto"/>
            <w:shd w:val="clear" w:fill="1a1f2e"/>
            <w:vAlign w:val="center"/>
          </w:tcPr>
          <w:p>
            <w:pPr>
              <w:spacing w:before="0" w:after="0"/>
              <w:jc w:val="center"/>
            </w:pPr>
            <w:r>
              <w:rPr>
                <w:b/>
                <w:color w:val="d4af37"/>
                <w:sz w:val="20"/>
              </w:rPr>
              <w:t>Status</w:t>
            </w:r>
          </w:p>
        </w:tc>
      </w:tr>
      <w:tr>
        <w:trPr>
          <w:trHeight w:val="360" w:hRule="atLeast"/>
        </w:trPr>
        <w:tc>
          <w:tcPr>
            <w:tcW w:w="0" w:type="auto"/>
            <w:vAlign w:val="center"/>
          </w:tcPr>
          <w:p>
            <w:pPr>
              <w:spacing w:before="0" w:after="0"/>
            </w:pPr>
            <w:r>
              <w:rPr>
                <w:color w:val="2d2d2d"/>
                <w:sz w:val="18"/>
              </w:rPr>
              <w:t>2024-04-09</w:t>
            </w:r>
          </w:p>
        </w:tc>
        <w:tc>
          <w:tcPr>
            <w:tcW w:w="0" w:type="auto"/>
            <w:vAlign w:val="center"/>
          </w:tcPr>
          <w:p>
            <w:pPr>
              <w:spacing w:before="0" w:after="0"/>
            </w:pPr>
            <w:r>
              <w:rPr>
                <w:b/>
                <w:color w:val="2d2d2d"/>
                <w:sz w:val="18"/>
              </w:rPr>
              <w:t>Employment Contract (Care Coordinator, Grade B4M1)</w:t>
            </w:r>
          </w:p>
        </w:tc>
        <w:tc>
          <w:tcPr>
            <w:tcW w:w="0" w:type="auto"/>
            <w:vAlign w:val="center"/>
          </w:tcPr>
          <w:p>
            <w:pPr>
              <w:spacing w:before="0" w:after="0"/>
            </w:pPr>
            <w:r>
              <w:rPr>
                <w:color w:val="2d2d2d"/>
                <w:sz w:val="18"/>
              </w:rPr>
              <w:t>Key evidence of title suppression - recruited as Specialist, contracted as Coordinator</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2025-04-01</w:t>
            </w:r>
          </w:p>
        </w:tc>
        <w:tc>
          <w:tcPr>
            <w:tcW w:w="0" w:type="auto"/>
            <w:vAlign w:val="center"/>
          </w:tcPr>
          <w:p>
            <w:pPr>
              <w:spacing w:before="0" w:after="0"/>
            </w:pPr>
            <w:r>
              <w:rPr>
                <w:b/>
                <w:color w:val="2d2d2d"/>
                <w:sz w:val="18"/>
              </w:rPr>
              <w:t>Dr Jacques Malan Sick Note (3-4 weeks inpatient)</w:t>
            </w:r>
          </w:p>
        </w:tc>
        <w:tc>
          <w:tcPr>
            <w:tcW w:w="0" w:type="auto"/>
            <w:vAlign w:val="center"/>
          </w:tcPr>
          <w:p>
            <w:pPr>
              <w:spacing w:before="0" w:after="0"/>
            </w:pPr>
            <w:r>
              <w:rPr>
                <w:color w:val="2d2d2d"/>
                <w:sz w:val="18"/>
              </w:rPr>
              <w:t>Medical certification of unfitness for work - disability disclosure</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2025-05-16</w:t>
            </w:r>
          </w:p>
        </w:tc>
        <w:tc>
          <w:tcPr>
            <w:tcW w:w="0" w:type="auto"/>
            <w:vAlign w:val="center"/>
          </w:tcPr>
          <w:p>
            <w:pPr>
              <w:spacing w:before="0" w:after="0"/>
            </w:pPr>
            <w:r>
              <w:rPr>
                <w:b/>
                <w:color w:val="2d2d2d"/>
                <w:sz w:val="18"/>
              </w:rPr>
              <w:t>Dr Jacques Malan Psychiatric Letter</w:t>
            </w:r>
          </w:p>
        </w:tc>
        <w:tc>
          <w:tcPr>
            <w:tcW w:w="0" w:type="auto"/>
            <w:vAlign w:val="center"/>
          </w:tcPr>
          <w:p>
            <w:pPr>
              <w:spacing w:before="0" w:after="0"/>
            </w:pPr>
            <w:r>
              <w:rPr>
                <w:color w:val="2d2d2d"/>
                <w:sz w:val="18"/>
              </w:rPr>
              <w:t>Formal disclosure of severe depression and PTSD to employer</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2025-07-24</w:t>
            </w:r>
          </w:p>
        </w:tc>
        <w:tc>
          <w:tcPr>
            <w:tcW w:w="0" w:type="auto"/>
            <w:vAlign w:val="center"/>
          </w:tcPr>
          <w:p>
            <w:pPr>
              <w:spacing w:before="0" w:after="0"/>
            </w:pPr>
            <w:r>
              <w:rPr>
                <w:b/>
                <w:color w:val="2d2d2d"/>
                <w:sz w:val="18"/>
              </w:rPr>
              <w:t>AOD Policy Email (Jones)</w:t>
            </w:r>
          </w:p>
        </w:tc>
        <w:tc>
          <w:tcPr>
            <w:tcW w:w="0" w:type="auto"/>
            <w:vAlign w:val="center"/>
          </w:tcPr>
          <w:p>
            <w:pPr>
              <w:spacing w:before="0" w:after="0"/>
            </w:pPr>
            <w:r>
              <w:rPr>
                <w:color w:val="2d2d2d"/>
                <w:sz w:val="18"/>
              </w:rPr>
              <w:t>Employer acknowledged 25% BCEA cap but deducted 40.47% - smoking gun evidence</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2025-09-25</w:t>
            </w:r>
          </w:p>
        </w:tc>
        <w:tc>
          <w:tcPr>
            <w:tcW w:w="0" w:type="auto"/>
            <w:vAlign w:val="center"/>
          </w:tcPr>
          <w:p>
            <w:pPr>
              <w:spacing w:before="0" w:after="0"/>
            </w:pPr>
            <w:r>
              <w:rPr>
                <w:b/>
                <w:color w:val="2d2d2d"/>
                <w:sz w:val="18"/>
              </w:rPr>
              <w:t>Formal Discrimination Complaint</w:t>
            </w:r>
          </w:p>
        </w:tc>
        <w:tc>
          <w:tcPr>
            <w:tcW w:w="0" w:type="auto"/>
            <w:vAlign w:val="center"/>
          </w:tcPr>
          <w:p>
            <w:pPr>
              <w:spacing w:before="0" w:after="0"/>
            </w:pPr>
            <w:r>
              <w:rPr>
                <w:color w:val="2d2d2d"/>
                <w:sz w:val="18"/>
              </w:rPr>
              <w:t>Initiated formal HR process - HR promised protection but failed to remove from hostile manager</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2025-10-31</w:t>
            </w:r>
          </w:p>
        </w:tc>
        <w:tc>
          <w:tcPr>
            <w:tcW w:w="0" w:type="auto"/>
            <w:vAlign w:val="center"/>
          </w:tcPr>
          <w:p>
            <w:pPr>
              <w:spacing w:before="0" w:after="0"/>
            </w:pPr>
            <w:r>
              <w:rPr>
                <w:b/>
                <w:color w:val="2d2d2d"/>
                <w:sz w:val="18"/>
              </w:rPr>
              <w:t>Recorded Interaction (Jones)</w:t>
            </w:r>
          </w:p>
        </w:tc>
        <w:tc>
          <w:tcPr>
            <w:tcW w:w="0" w:type="auto"/>
            <w:vAlign w:val="center"/>
          </w:tcPr>
          <w:p>
            <w:pPr>
              <w:spacing w:before="0" w:after="0"/>
            </w:pPr>
            <w:r>
              <w:rPr>
                <w:color w:val="2d2d2d"/>
                <w:sz w:val="18"/>
              </w:rPr>
              <w:t>Direct evidence of PDA breach, retaliatory intent, veiled threat</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2025-11-02</w:t>
            </w:r>
          </w:p>
        </w:tc>
        <w:tc>
          <w:tcPr>
            <w:tcW w:w="0" w:type="auto"/>
            <w:vAlign w:val="center"/>
          </w:tcPr>
          <w:p>
            <w:pPr>
              <w:spacing w:before="0" w:after="0"/>
            </w:pPr>
            <w:r>
              <w:rPr>
                <w:b/>
                <w:color w:val="2d2d2d"/>
                <w:sz w:val="18"/>
              </w:rPr>
              <w:t>Formal Grievance (32 attachments)</w:t>
            </w:r>
          </w:p>
        </w:tc>
        <w:tc>
          <w:tcPr>
            <w:tcW w:w="0" w:type="auto"/>
            <w:vAlign w:val="center"/>
          </w:tcPr>
          <w:p>
            <w:pPr>
              <w:spacing w:before="0" w:after="0"/>
            </w:pPr>
            <w:r>
              <w:rPr>
                <w:color w:val="2d2d2d"/>
                <w:sz w:val="18"/>
              </w:rPr>
              <w:t>Comprehensive documentation of institutional failures</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2025-12-10</w:t>
            </w:r>
          </w:p>
        </w:tc>
        <w:tc>
          <w:tcPr>
            <w:tcW w:w="0" w:type="auto"/>
            <w:vAlign w:val="center"/>
          </w:tcPr>
          <w:p>
            <w:pPr>
              <w:spacing w:before="0" w:after="0"/>
            </w:pPr>
            <w:r>
              <w:rPr>
                <w:b/>
                <w:color w:val="2d2d2d"/>
                <w:sz w:val="18"/>
              </w:rPr>
              <w:t>Employer's Opposing Affidavit</w:t>
            </w:r>
          </w:p>
        </w:tc>
        <w:tc>
          <w:tcPr>
            <w:tcW w:w="0" w:type="auto"/>
            <w:vAlign w:val="center"/>
          </w:tcPr>
          <w:p>
            <w:pPr>
              <w:spacing w:before="0" w:after="0"/>
            </w:pPr>
            <w:r>
              <w:rPr>
                <w:color w:val="2d2d2d"/>
                <w:sz w:val="18"/>
              </w:rPr>
              <w:t>Bad faith litigation - character attacks under oath</w:t>
            </w:r>
          </w:p>
        </w:tc>
        <w:tc>
          <w:tcPr>
            <w:tcW w:w="0" w:type="auto"/>
            <w:vAlign w:val="center"/>
          </w:tcPr>
          <w:p>
            <w:pPr>
              <w:spacing w:before="0" w:after="0"/>
              <w:jc w:val="center"/>
            </w:pPr>
            <w:r>
              <w:rPr>
                <w:b/>
                <w:color w:val="2e7d32"/>
                <w:sz w:val="18"/>
              </w:rPr>
              <w:t>Secured</w:t>
            </w:r>
          </w:p>
        </w:tc>
      </w:tr>
      <w:tr>
        <w:trPr>
          <w:trHeight w:val="360" w:hRule="atLeast"/>
        </w:trPr>
        <w:tc>
          <w:tcPr>
            <w:tcW w:w="0" w:type="auto"/>
            <w:vAlign w:val="center"/>
          </w:tcPr>
          <w:p>
            <w:pPr>
              <w:spacing w:before="0" w:after="0"/>
            </w:pPr>
            <w:r>
              <w:rPr>
                <w:color w:val="2d2d2d"/>
                <w:sz w:val="18"/>
              </w:rPr>
              <w:t>2026-01-19</w:t>
            </w:r>
          </w:p>
        </w:tc>
        <w:tc>
          <w:tcPr>
            <w:tcW w:w="0" w:type="auto"/>
            <w:vAlign w:val="center"/>
          </w:tcPr>
          <w:p>
            <w:pPr>
              <w:spacing w:before="0" w:after="0"/>
            </w:pPr>
            <w:r>
              <w:rPr>
                <w:b/>
                <w:color w:val="2d2d2d"/>
                <w:sz w:val="18"/>
              </w:rPr>
              <w:t>Certificate of Service Dispute</w:t>
            </w:r>
          </w:p>
        </w:tc>
        <w:tc>
          <w:tcPr>
            <w:tcW w:w="0" w:type="auto"/>
            <w:vAlign w:val="center"/>
          </w:tcPr>
          <w:p>
            <w:pPr>
              <w:spacing w:before="0" w:after="0"/>
            </w:pPr>
            <w:r>
              <w:rPr>
                <w:color w:val="2d2d2d"/>
                <w:sz w:val="18"/>
              </w:rPr>
              <w:t>Employer misrepresents role as 'Care Coordinator' - fraudulent documentation</w:t>
            </w:r>
          </w:p>
        </w:tc>
        <w:tc>
          <w:tcPr>
            <w:tcW w:w="0" w:type="auto"/>
            <w:vAlign w:val="center"/>
          </w:tcPr>
          <w:p>
            <w:pPr>
              <w:spacing w:before="0" w:after="0"/>
              <w:jc w:val="center"/>
            </w:pPr>
            <w:r>
              <w:rPr>
                <w:b/>
                <w:color w:val="ed6c02"/>
                <w:sz w:val="18"/>
              </w:rPr>
              <w:t>Disputed</w:t>
            </w:r>
          </w:p>
        </w:tc>
      </w:tr>
      <w:tr>
        <w:trPr>
          <w:trHeight w:val="360" w:hRule="atLeast"/>
        </w:trPr>
        <w:tc>
          <w:tcPr>
            <w:tcW w:w="0" w:type="auto"/>
            <w:vAlign w:val="center"/>
          </w:tcPr>
          <w:p>
            <w:pPr>
              <w:spacing w:before="0" w:after="0"/>
            </w:pPr>
            <w:r>
              <w:rPr>
                <w:color w:val="2d2d2d"/>
                <w:sz w:val="18"/>
              </w:rPr>
              <w:t>2026-03-05</w:t>
            </w:r>
          </w:p>
        </w:tc>
        <w:tc>
          <w:tcPr>
            <w:tcW w:w="0" w:type="auto"/>
            <w:vAlign w:val="center"/>
          </w:tcPr>
          <w:p>
            <w:pPr>
              <w:spacing w:before="0" w:after="0"/>
            </w:pPr>
            <w:r>
              <w:rPr>
                <w:b/>
                <w:color w:val="2d2d2d"/>
                <w:sz w:val="18"/>
              </w:rPr>
              <w:t>BCEA s77A Application (Labour Court)</w:t>
            </w:r>
          </w:p>
        </w:tc>
        <w:tc>
          <w:tcPr>
            <w:tcW w:w="0" w:type="auto"/>
            <w:vAlign w:val="center"/>
          </w:tcPr>
          <w:p>
            <w:pPr>
              <w:spacing w:before="0" w:after="0"/>
            </w:pPr>
            <w:r>
              <w:rPr>
                <w:color w:val="2d2d2d"/>
                <w:sz w:val="18"/>
              </w:rPr>
              <w:t>Urgent application for unlawful salary deduction relief</w:t>
            </w:r>
          </w:p>
        </w:tc>
        <w:tc>
          <w:tcPr>
            <w:tcW w:w="0" w:type="auto"/>
            <w:vAlign w:val="center"/>
          </w:tcPr>
          <w:p>
            <w:pPr>
              <w:spacing w:before="0" w:after="0"/>
              <w:jc w:val="center"/>
            </w:pPr>
            <w:r>
              <w:rPr>
                <w:b/>
                <w:color w:val="0288d1"/>
                <w:sz w:val="18"/>
              </w:rPr>
              <w:t>Filed</w:t>
            </w:r>
          </w:p>
        </w:tc>
      </w:tr>
      <w:tr>
        <w:trPr>
          <w:trHeight w:val="360" w:hRule="atLeast"/>
        </w:trPr>
        <w:tc>
          <w:tcPr>
            <w:tcW w:w="0" w:type="auto"/>
            <w:vAlign w:val="center"/>
          </w:tcPr>
          <w:p>
            <w:pPr>
              <w:spacing w:before="0" w:after="0"/>
            </w:pPr>
            <w:r>
              <w:rPr>
                <w:color w:val="2d2d2d"/>
                <w:sz w:val="18"/>
              </w:rPr>
              <w:t>2026-03-23</w:t>
            </w:r>
          </w:p>
        </w:tc>
        <w:tc>
          <w:tcPr>
            <w:tcW w:w="0" w:type="auto"/>
            <w:vAlign w:val="center"/>
          </w:tcPr>
          <w:p>
            <w:pPr>
              <w:spacing w:before="0" w:after="0"/>
            </w:pPr>
            <w:r>
              <w:rPr>
                <w:b/>
                <w:color w:val="2d2d2d"/>
                <w:sz w:val="18"/>
              </w:rPr>
              <w:t>Section 162 Director Delinquency Application</w:t>
            </w:r>
          </w:p>
        </w:tc>
        <w:tc>
          <w:tcPr>
            <w:tcW w:w="0" w:type="auto"/>
            <w:vAlign w:val="center"/>
          </w:tcPr>
          <w:p>
            <w:pPr>
              <w:spacing w:before="0" w:after="0"/>
            </w:pPr>
            <w:r>
              <w:rPr>
                <w:color w:val="2d2d2d"/>
                <w:sz w:val="18"/>
              </w:rPr>
              <w:t>High Court urgent application against Board members</w:t>
            </w:r>
          </w:p>
        </w:tc>
        <w:tc>
          <w:tcPr>
            <w:tcW w:w="0" w:type="auto"/>
            <w:vAlign w:val="center"/>
          </w:tcPr>
          <w:p>
            <w:pPr>
              <w:spacing w:before="0" w:after="0"/>
              <w:jc w:val="center"/>
            </w:pPr>
            <w:r>
              <w:rPr>
                <w:b/>
                <w:color w:val="0288d1"/>
                <w:sz w:val="18"/>
              </w:rPr>
              <w:t>Filed</w:t>
            </w:r>
          </w:p>
        </w:tc>
      </w:tr>
    </w:tbl>
    <w:p>
      <w:pPr>
        <w:spacing w:before="200" w:after="100"/>
      </w:pPr>
      <w:r>
        <w:rPr>
          <w:i/>
          <w:color w:val="6a6a6a"/>
          <w:sz w:val="18"/>
        </w:rPr>
        <w:t>Additional documents can be referenced below:</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1200"/>
        <w:gridCol w:w="3000"/>
        <w:gridCol w:w="4200"/>
        <w:gridCol w:w="1600"/>
      </w:tblGrid>
      <w:tr>
        <w:trPr>
          <w:trHeight w:val="500" w:hRule="atLeast"/>
        </w:trPr>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c>
          <w:tcPr>
            <w:tcW w:w="0" w:type="auto"/>
            <w:vAlign w:val="center"/>
          </w:tcPr>
          <w:p>
            <w:pPr>
              <w:spacing w:before="0" w:after="0"/>
            </w:pPr>
            <w:r>
              <w:t xml:space="preserve"> </w:t>
            </w:r>
          </w:p>
        </w:tc>
      </w:tr>
    </w:tbl>
    <w:p>
      <w:r>
        <w:br w:type="page"/>
      </w:r>
    </w:p>
    <w:p>
      <w:pPr>
        <w:pStyle w:val="Heading1"/>
      </w:pPr>
      <w:r>
        <w:t>SUMMARY: SYSTEMIC INSTITUTIONAL FAILURES</w:t>
      </w:r>
    </w:p>
    <w:p>
      <w:pPr>
        <w:spacing w:before="120" w:after="300"/>
        <w:jc w:val="both"/>
      </w:pPr>
      <w:r>
        <w:rPr>
          <w:i/>
          <w:color w:val="4a4a4a"/>
          <w:sz w:val="20"/>
        </w:rPr>
        <w:t>The following analysis demonstrates how the documented events, patterns, and regulatory non-responses relate to failures across multiple legal frameworks and institutions:</w:t>
      </w:r>
    </w:p>
    <w:tbl>
      <w:tblPr>
        <w:tblW w:w="5000" w:type="pct"/>
        <w:tblBorders>
          <w:top w:val="single" w:color="1a1f2e" w:sz="8"/>
          <w:left w:val="single" w:color="1a1f2e" w:sz="4"/>
          <w:bottom w:val="single" w:color="1a1f2e" w:sz="8"/>
          <w:right w:val="single" w:color="1a1f2e" w:sz="4"/>
          <w:insideH w:val="single" w:color="cccccc" w:sz="4"/>
          <w:insideV w:val="single" w:color="cccccc" w:sz="4"/>
        </w:tblBorders>
        <w:tblCellMar>
          <w:top w:w="80" w:type="dxa"/>
          <w:left w:w="100" w:type="dxa"/>
          <w:bottom w:w="80" w:type="dxa"/>
          <w:right w:w="100" w:type="dxa"/>
        </w:tblCellMar>
      </w:tblPr>
      <w:tblGrid>
        <w:gridCol w:w="2400"/>
        <w:gridCol w:w="2600"/>
        <w:gridCol w:w="5000"/>
      </w:tblGrid>
      <w:tr>
        <w:trPr>
          <w:tblHeader/>
          <w:trHeight w:val="400" w:hRule="atLeast"/>
        </w:trPr>
        <w:tc>
          <w:tcPr>
            <w:tcW w:w="0" w:type="auto"/>
            <w:shd w:val="clear" w:fill="1a1f2e"/>
            <w:vAlign w:val="center"/>
          </w:tcPr>
          <w:p>
            <w:pPr>
              <w:spacing w:before="0" w:after="0"/>
              <w:jc w:val="center"/>
            </w:pPr>
            <w:r>
              <w:rPr>
                <w:b/>
                <w:color w:val="d4af37"/>
                <w:sz w:val="20"/>
              </w:rPr>
              <w:t>Legal Framework</w:t>
            </w:r>
          </w:p>
        </w:tc>
        <w:tc>
          <w:tcPr>
            <w:tcW w:w="0" w:type="auto"/>
            <w:shd w:val="clear" w:fill="1a1f2e"/>
            <w:vAlign w:val="center"/>
          </w:tcPr>
          <w:p>
            <w:pPr>
              <w:spacing w:before="0" w:after="0"/>
              <w:jc w:val="center"/>
            </w:pPr>
            <w:r>
              <w:rPr>
                <w:b/>
                <w:color w:val="d4af37"/>
                <w:sz w:val="20"/>
              </w:rPr>
              <w:t>Institution</w:t>
            </w:r>
          </w:p>
        </w:tc>
        <w:tc>
          <w:tcPr>
            <w:tcW w:w="0" w:type="auto"/>
            <w:shd w:val="clear" w:fill="1a1f2e"/>
            <w:vAlign w:val="center"/>
          </w:tcPr>
          <w:p>
            <w:pPr>
              <w:spacing w:before="0" w:after="0"/>
              <w:jc w:val="center"/>
            </w:pPr>
            <w:r>
              <w:rPr>
                <w:b/>
                <w:color w:val="d4af37"/>
                <w:sz w:val="20"/>
              </w:rPr>
              <w:t>Nature of Failure</w:t>
            </w:r>
          </w:p>
        </w:tc>
      </w:tr>
      <w:tr>
        <w:trPr>
          <w:trHeight w:val="360" w:hRule="atLeast"/>
        </w:trPr>
        <w:tc>
          <w:tcPr>
            <w:tcW w:w="0" w:type="auto"/>
            <w:vAlign w:val="center"/>
          </w:tcPr>
          <w:p>
            <w:pPr>
              <w:spacing w:before="0" w:after="0"/>
            </w:pPr>
            <w:r>
              <w:rPr>
                <w:b/>
                <w:color w:val="1a1f2e"/>
                <w:sz w:val="18"/>
              </w:rPr>
              <w:t>Protected Disclosures Act (PDA)</w:t>
            </w:r>
          </w:p>
        </w:tc>
        <w:tc>
          <w:tcPr>
            <w:tcW w:w="0" w:type="auto"/>
            <w:vAlign w:val="center"/>
          </w:tcPr>
          <w:p>
            <w:pPr>
              <w:spacing w:before="0" w:after="0"/>
            </w:pPr>
            <w:r>
              <w:rPr>
                <w:color w:val="2d2d2d"/>
                <w:sz w:val="18"/>
              </w:rPr>
              <w:t>AfroCentric/Medscheme</w:t>
            </w:r>
          </w:p>
        </w:tc>
        <w:tc>
          <w:tcPr>
            <w:tcW w:w="0" w:type="auto"/>
            <w:vAlign w:val="center"/>
          </w:tcPr>
          <w:p>
            <w:pPr>
              <w:spacing w:before="0" w:after="0"/>
            </w:pPr>
            <w:r>
              <w:rPr>
                <w:color w:val="4a4a4a"/>
                <w:sz w:val="18"/>
              </w:rPr>
              <w:t>Retaliation against protected disclosure; dismissal of patient safety concerns; 'insubordination' framing</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CCMA</w:t>
            </w:r>
          </w:p>
        </w:tc>
        <w:tc>
          <w:tcPr>
            <w:tcW w:w="0" w:type="auto"/>
            <w:vAlign w:val="center"/>
          </w:tcPr>
          <w:p>
            <w:pPr>
              <w:spacing w:before="0" w:after="0"/>
            </w:pPr>
            <w:r>
              <w:rPr>
                <w:color w:val="4a4a4a"/>
                <w:sz w:val="18"/>
              </w:rPr>
              <w:t>Commissioner bias; pre-judgment ('nothing here relates to protected disclosure'); 'Google it' remark</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Public Protector</w:t>
            </w:r>
          </w:p>
        </w:tc>
        <w:tc>
          <w:tcPr>
            <w:tcW w:w="0" w:type="auto"/>
            <w:vAlign w:val="center"/>
          </w:tcPr>
          <w:p>
            <w:pPr>
              <w:spacing w:before="0" w:after="0"/>
            </w:pPr>
            <w:r>
              <w:rPr>
                <w:color w:val="4a4a4a"/>
                <w:sz w:val="18"/>
              </w:rPr>
              <w:t>Not yet engaged - SAHRC referred matter but no action taken</w:t>
            </w:r>
          </w:p>
        </w:tc>
      </w:tr>
      <w:tr>
        <w:trPr>
          <w:trHeight w:val="360" w:hRule="atLeast"/>
        </w:trPr>
        <w:tc>
          <w:tcPr>
            <w:tcW w:w="0" w:type="auto"/>
            <w:vAlign w:val="center"/>
          </w:tcPr>
          <w:p>
            <w:pPr>
              <w:spacing w:before="0" w:after="0"/>
            </w:pPr>
            <w:r>
              <w:rPr>
                <w:b/>
                <w:color w:val="1a1f2e"/>
                <w:sz w:val="18"/>
              </w:rPr>
              <w:t>Employment Equity Act (EEA)</w:t>
            </w:r>
          </w:p>
        </w:tc>
        <w:tc>
          <w:tcPr>
            <w:tcW w:w="0" w:type="auto"/>
            <w:vAlign w:val="center"/>
          </w:tcPr>
          <w:p>
            <w:pPr>
              <w:spacing w:before="0" w:after="0"/>
            </w:pPr>
            <w:r>
              <w:rPr>
                <w:color w:val="2d2d2d"/>
                <w:sz w:val="18"/>
              </w:rPr>
              <w:t>AfroCentric/Medscheme</w:t>
            </w:r>
          </w:p>
        </w:tc>
        <w:tc>
          <w:tcPr>
            <w:tcW w:w="0" w:type="auto"/>
            <w:vAlign w:val="center"/>
          </w:tcPr>
          <w:p>
            <w:pPr>
              <w:spacing w:before="0" w:after="0"/>
            </w:pPr>
            <w:r>
              <w:rPr>
                <w:color w:val="4a4a4a"/>
                <w:sz w:val="18"/>
              </w:rPr>
              <w:t>Gender identity discrimination; failure to take reasonable corrective measures; 'Wilma' incident dismissed as 'typo'</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CCMA/Labour Court</w:t>
            </w:r>
          </w:p>
        </w:tc>
        <w:tc>
          <w:tcPr>
            <w:tcW w:w="0" w:type="auto"/>
            <w:vAlign w:val="center"/>
          </w:tcPr>
          <w:p>
            <w:pPr>
              <w:spacing w:before="0" w:after="0"/>
            </w:pPr>
            <w:r>
              <w:rPr>
                <w:color w:val="4a4a4a"/>
                <w:sz w:val="18"/>
              </w:rPr>
              <w:t>Matters pending - systemic delays in addressing discrimination claims</w:t>
            </w:r>
          </w:p>
        </w:tc>
      </w:tr>
      <w:tr>
        <w:trPr>
          <w:trHeight w:val="360" w:hRule="atLeast"/>
        </w:trPr>
        <w:tc>
          <w:tcPr>
            <w:tcW w:w="0" w:type="auto"/>
            <w:vAlign w:val="center"/>
          </w:tcPr>
          <w:p>
            <w:pPr>
              <w:spacing w:before="0" w:after="0"/>
            </w:pPr>
            <w:r>
              <w:rPr>
                <w:b/>
                <w:color w:val="1a1f2e"/>
                <w:sz w:val="18"/>
              </w:rPr>
              <w:t>Labour Relations Act (LRA)</w:t>
            </w:r>
          </w:p>
        </w:tc>
        <w:tc>
          <w:tcPr>
            <w:tcW w:w="0" w:type="auto"/>
            <w:vAlign w:val="center"/>
          </w:tcPr>
          <w:p>
            <w:pPr>
              <w:spacing w:before="0" w:after="0"/>
            </w:pPr>
            <w:r>
              <w:rPr>
                <w:color w:val="2d2d2d"/>
                <w:sz w:val="18"/>
              </w:rPr>
              <w:t>AfroCentric/Medscheme</w:t>
            </w:r>
          </w:p>
        </w:tc>
        <w:tc>
          <w:tcPr>
            <w:tcW w:w="0" w:type="auto"/>
            <w:vAlign w:val="center"/>
          </w:tcPr>
          <w:p>
            <w:pPr>
              <w:spacing w:before="0" w:after="0"/>
            </w:pPr>
            <w:r>
              <w:rPr>
                <w:color w:val="4a4a4a"/>
                <w:sz w:val="18"/>
              </w:rPr>
              <w:t>Automatically unfair constructive dismissal; refusal to bargain in good faith; 30+ days institutional silence</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CCMA</w:t>
            </w:r>
          </w:p>
        </w:tc>
        <w:tc>
          <w:tcPr>
            <w:tcW w:w="0" w:type="auto"/>
            <w:vAlign w:val="center"/>
          </w:tcPr>
          <w:p>
            <w:pPr>
              <w:spacing w:before="0" w:after="0"/>
            </w:pPr>
            <w:r>
              <w:rPr>
                <w:color w:val="4a4a4a"/>
                <w:sz w:val="18"/>
              </w:rPr>
              <w:t>Conciliation failed; bias complaint; lack of jurisdiction for PDA matters</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Labour Court</w:t>
            </w:r>
          </w:p>
        </w:tc>
        <w:tc>
          <w:tcPr>
            <w:tcW w:w="0" w:type="auto"/>
            <w:vAlign w:val="center"/>
          </w:tcPr>
          <w:p>
            <w:pPr>
              <w:spacing w:before="0" w:after="0"/>
            </w:pPr>
            <w:r>
              <w:rPr>
                <w:color w:val="4a4a4a"/>
                <w:sz w:val="18"/>
              </w:rPr>
              <w:t>Obstructed filing process; poorly explained rejections; punitive cost orders against self-represented litigant</w:t>
            </w:r>
          </w:p>
        </w:tc>
      </w:tr>
      <w:tr>
        <w:trPr>
          <w:trHeight w:val="360" w:hRule="atLeast"/>
        </w:trPr>
        <w:tc>
          <w:tcPr>
            <w:tcW w:w="0" w:type="auto"/>
            <w:vAlign w:val="center"/>
          </w:tcPr>
          <w:p>
            <w:pPr>
              <w:spacing w:before="0" w:after="0"/>
            </w:pPr>
            <w:r>
              <w:rPr>
                <w:b/>
                <w:color w:val="1a1f2e"/>
                <w:sz w:val="18"/>
              </w:rPr>
              <w:t>Constitutional Rights</w:t>
            </w:r>
          </w:p>
        </w:tc>
        <w:tc>
          <w:tcPr>
            <w:tcW w:w="0" w:type="auto"/>
            <w:vAlign w:val="center"/>
          </w:tcPr>
          <w:p>
            <w:pPr>
              <w:spacing w:before="0" w:after="0"/>
            </w:pPr>
            <w:r>
              <w:rPr>
                <w:color w:val="2d2d2d"/>
                <w:sz w:val="18"/>
              </w:rPr>
              <w:t>AfroCentric/Medscheme</w:t>
            </w:r>
          </w:p>
        </w:tc>
        <w:tc>
          <w:tcPr>
            <w:tcW w:w="0" w:type="auto"/>
            <w:vAlign w:val="center"/>
          </w:tcPr>
          <w:p>
            <w:pPr>
              <w:spacing w:before="0" w:after="0"/>
            </w:pPr>
            <w:r>
              <w:rPr>
                <w:color w:val="4a4a4a"/>
                <w:sz w:val="18"/>
              </w:rPr>
              <w:t>Right to dignity (discrimination); right to fair labour practices; right to just administrative action</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SAHRC</w:t>
            </w:r>
          </w:p>
        </w:tc>
        <w:tc>
          <w:tcPr>
            <w:tcW w:w="0" w:type="auto"/>
            <w:vAlign w:val="center"/>
          </w:tcPr>
          <w:p>
            <w:pPr>
              <w:spacing w:before="0" w:after="0"/>
            </w:pPr>
            <w:r>
              <w:rPr>
                <w:color w:val="4a4a4a"/>
                <w:sz w:val="18"/>
              </w:rPr>
              <w:t>Passed buck to CCMA/Labour Court - 'not best placed' to address victimization</w:t>
            </w:r>
          </w:p>
        </w:tc>
      </w:tr>
      <w:tr>
        <w:trPr>
          <w:trHeight w:val="360" w:hRule="atLeast"/>
        </w:trPr>
        <w:tc>
          <w:tcPr>
            <w:tcW w:w="0" w:type="auto"/>
            <w:vAlign w:val="center"/>
          </w:tcPr>
          <w:p>
            <w:pPr>
              <w:spacing w:before="0" w:after="0"/>
            </w:pPr>
            <w:r>
              <w:rPr>
                <w:b/>
                <w:color w:val="1a1f2e"/>
                <w:sz w:val="18"/>
              </w:rPr>
              <w:t>Basic Conditions of Employment Act (BCEA)</w:t>
            </w:r>
          </w:p>
        </w:tc>
        <w:tc>
          <w:tcPr>
            <w:tcW w:w="0" w:type="auto"/>
            <w:vAlign w:val="center"/>
          </w:tcPr>
          <w:p>
            <w:pPr>
              <w:spacing w:before="0" w:after="0"/>
            </w:pPr>
            <w:r>
              <w:rPr>
                <w:color w:val="2d2d2d"/>
                <w:sz w:val="18"/>
              </w:rPr>
              <w:t>AfroCentric/Medscheme</w:t>
            </w:r>
          </w:p>
        </w:tc>
        <w:tc>
          <w:tcPr>
            <w:tcW w:w="0" w:type="auto"/>
            <w:vAlign w:val="center"/>
          </w:tcPr>
          <w:p>
            <w:pPr>
              <w:spacing w:before="0" w:after="0"/>
            </w:pPr>
            <w:r>
              <w:rPr>
                <w:color w:val="4a4a4a"/>
                <w:sz w:val="18"/>
              </w:rPr>
              <w:t>40.47% salary deduction exceeds 25% cap (s34(2)); no written consent; refusal to stagger</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DEL</w:t>
            </w:r>
          </w:p>
        </w:tc>
        <w:tc>
          <w:tcPr>
            <w:tcW w:w="0" w:type="auto"/>
            <w:vAlign w:val="center"/>
          </w:tcPr>
          <w:p>
            <w:pPr>
              <w:spacing w:before="0" w:after="0"/>
            </w:pPr>
            <w:r>
              <w:rPr>
                <w:color w:val="4a4a4a"/>
                <w:sz w:val="18"/>
              </w:rPr>
              <w:t>Lacks authority under Section 70(b) - earnings above threshold; passed buck to CCMA</w:t>
            </w:r>
          </w:p>
        </w:tc>
      </w:tr>
      <w:tr>
        <w:trPr>
          <w:trHeight w:val="360" w:hRule="atLeast"/>
        </w:trPr>
        <w:tc>
          <w:tcPr>
            <w:tcW w:w="0" w:type="auto"/>
            <w:vAlign w:val="center"/>
          </w:tcPr>
          <w:p>
            <w:pPr>
              <w:spacing w:before="0" w:after="0"/>
            </w:pPr>
            <w:r>
              <w:rPr>
                <w:b/>
                <w:color w:val="1a1f2e"/>
                <w:sz w:val="18"/>
              </w:rPr>
              <w:t>Occupational Health &amp; Safety Act (OHSA)</w:t>
            </w:r>
          </w:p>
        </w:tc>
        <w:tc>
          <w:tcPr>
            <w:tcW w:w="0" w:type="auto"/>
            <w:vAlign w:val="center"/>
          </w:tcPr>
          <w:p>
            <w:pPr>
              <w:spacing w:before="0" w:after="0"/>
            </w:pPr>
            <w:r>
              <w:rPr>
                <w:color w:val="2d2d2d"/>
                <w:sz w:val="18"/>
              </w:rPr>
              <w:t>AfroCentric/Medscheme</w:t>
            </w:r>
          </w:p>
        </w:tc>
        <w:tc>
          <w:tcPr>
            <w:tcW w:w="0" w:type="auto"/>
            <w:vAlign w:val="center"/>
          </w:tcPr>
          <w:p>
            <w:pPr>
              <w:spacing w:before="0" w:after="0"/>
            </w:pPr>
            <w:r>
              <w:rPr>
                <w:color w:val="4a4a4a"/>
                <w:sz w:val="18"/>
              </w:rPr>
              <w:t>Failure to ensure safe working environment; psychological harassment; no reasonable accommodation</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SAPS/NPA</w:t>
            </w:r>
          </w:p>
        </w:tc>
        <w:tc>
          <w:tcPr>
            <w:tcW w:w="0" w:type="auto"/>
            <w:vAlign w:val="center"/>
          </w:tcPr>
          <w:p>
            <w:pPr>
              <w:spacing w:before="0" w:after="0"/>
            </w:pPr>
            <w:r>
              <w:rPr>
                <w:color w:val="4a4a4a"/>
                <w:sz w:val="18"/>
              </w:rPr>
              <w:t>Delft Station Commander refused to open criminal case; usurped NPA function</w:t>
            </w:r>
          </w:p>
        </w:tc>
      </w:tr>
      <w:tr>
        <w:trPr>
          <w:trHeight w:val="360" w:hRule="atLeast"/>
        </w:trPr>
        <w:tc>
          <w:tcPr>
            <w:tcW w:w="0" w:type="auto"/>
            <w:vAlign w:val="center"/>
          </w:tcPr>
          <w:p>
            <w:pPr>
              <w:spacing w:before="0" w:after="0"/>
            </w:pPr>
            <w:r>
              <w:rPr>
                <w:b/>
                <w:color w:val="1a1f2e"/>
                <w:sz w:val="18"/>
              </w:rPr>
              <w:t>Medical Schemes Act (MSA)</w:t>
            </w:r>
          </w:p>
        </w:tc>
        <w:tc>
          <w:tcPr>
            <w:tcW w:w="0" w:type="auto"/>
            <w:vAlign w:val="center"/>
          </w:tcPr>
          <w:p>
            <w:pPr>
              <w:spacing w:before="0" w:after="0"/>
            </w:pPr>
            <w:r>
              <w:rPr>
                <w:color w:val="2d2d2d"/>
                <w:sz w:val="18"/>
              </w:rPr>
              <w:t>CMS</w:t>
            </w:r>
          </w:p>
        </w:tc>
        <w:tc>
          <w:tcPr>
            <w:tcW w:w="0" w:type="auto"/>
            <w:vAlign w:val="center"/>
          </w:tcPr>
          <w:p>
            <w:pPr>
              <w:spacing w:before="0" w:after="0"/>
            </w:pPr>
            <w:r>
              <w:rPr>
                <w:color w:val="4a4a4a"/>
                <w:sz w:val="18"/>
              </w:rPr>
              <w:t>Declined jurisdiction - passed buck to HPCSA; made no formal finding of administrator misconduct</w:t>
            </w:r>
          </w:p>
        </w:tc>
      </w:tr>
      <w:tr>
        <w:trPr>
          <w:trHeight w:val="360" w:hRule="atLeast"/>
        </w:trPr>
        <w:tc>
          <w:tcPr>
            <w:tcW w:w="0" w:type="auto"/>
            <w:vAlign w:val="center"/>
          </w:tcPr>
          <w:p>
            <w:pPr>
              <w:spacing w:before="0" w:after="0"/>
            </w:pPr>
            <w:r>
              <w:rPr>
                <w:b/>
                <w:color w:val="1a1f2e"/>
                <w:sz w:val="18"/>
              </w:rPr>
              <w:t>JSE Listings Requirements</w:t>
            </w:r>
          </w:p>
        </w:tc>
        <w:tc>
          <w:tcPr>
            <w:tcW w:w="0" w:type="auto"/>
            <w:vAlign w:val="center"/>
          </w:tcPr>
          <w:p>
            <w:pPr>
              <w:spacing w:before="0" w:after="0"/>
            </w:pPr>
            <w:r>
              <w:rPr>
                <w:color w:val="2d2d2d"/>
                <w:sz w:val="18"/>
              </w:rPr>
              <w:t>JSE</w:t>
            </w:r>
          </w:p>
        </w:tc>
        <w:tc>
          <w:tcPr>
            <w:tcW w:w="0" w:type="auto"/>
            <w:vAlign w:val="center"/>
          </w:tcPr>
          <w:p>
            <w:pPr>
              <w:spacing w:before="0" w:after="0"/>
            </w:pPr>
            <w:r>
              <w:rPr>
                <w:color w:val="4a4a4a"/>
                <w:sz w:val="18"/>
              </w:rPr>
              <w:t>Determined matters fall outside Listings Requirements - passed buck to CCMA/Labour Court/Equality Court</w:t>
            </w:r>
          </w:p>
        </w:tc>
      </w:tr>
      <w:tr>
        <w:trPr>
          <w:trHeight w:val="360" w:hRule="atLeast"/>
        </w:trPr>
        <w:tc>
          <w:tcPr>
            <w:tcW w:w="0" w:type="auto"/>
            <w:vAlign w:val="center"/>
          </w:tcPr>
          <w:p>
            <w:pPr>
              <w:spacing w:before="0" w:after="0"/>
            </w:pPr>
            <w:r>
              <w:rPr>
                <w:b/>
                <w:color w:val="1a1f2e"/>
                <w:sz w:val="18"/>
              </w:rPr>
              <w:t>Financial Sector Conduct Authority</w:t>
            </w:r>
          </w:p>
        </w:tc>
        <w:tc>
          <w:tcPr>
            <w:tcW w:w="0" w:type="auto"/>
            <w:vAlign w:val="center"/>
          </w:tcPr>
          <w:p>
            <w:pPr>
              <w:spacing w:before="0" w:after="0"/>
            </w:pPr>
            <w:r>
              <w:rPr>
                <w:color w:val="2d2d2d"/>
                <w:sz w:val="18"/>
              </w:rPr>
              <w:t>FSCA</w:t>
            </w:r>
          </w:p>
        </w:tc>
        <w:tc>
          <w:tcPr>
            <w:tcW w:w="0" w:type="auto"/>
            <w:vAlign w:val="center"/>
          </w:tcPr>
          <w:p>
            <w:pPr>
              <w:spacing w:before="0" w:after="0"/>
            </w:pPr>
            <w:r>
              <w:rPr>
                <w:color w:val="4a4a4a"/>
                <w:sz w:val="18"/>
              </w:rPr>
              <w:t>No documented response to governance and conduct complaints</w:t>
            </w:r>
          </w:p>
        </w:tc>
      </w:tr>
      <w:tr>
        <w:trPr>
          <w:trHeight w:val="360" w:hRule="atLeast"/>
        </w:trPr>
        <w:tc>
          <w:tcPr>
            <w:tcW w:w="0" w:type="auto"/>
            <w:vAlign w:val="center"/>
          </w:tcPr>
          <w:p>
            <w:pPr>
              <w:spacing w:before="0" w:after="0"/>
            </w:pPr>
            <w:r>
              <w:rPr>
                <w:b/>
                <w:color w:val="1a1f2e"/>
                <w:sz w:val="18"/>
              </w:rPr>
              <w:t>Criminal Justice System</w:t>
            </w:r>
          </w:p>
        </w:tc>
        <w:tc>
          <w:tcPr>
            <w:tcW w:w="0" w:type="auto"/>
            <w:vAlign w:val="center"/>
          </w:tcPr>
          <w:p>
            <w:pPr>
              <w:spacing w:before="0" w:after="0"/>
            </w:pPr>
            <w:r>
              <w:rPr>
                <w:color w:val="2d2d2d"/>
                <w:sz w:val="18"/>
              </w:rPr>
              <w:t>SAPS Delft</w:t>
            </w:r>
          </w:p>
        </w:tc>
        <w:tc>
          <w:tcPr>
            <w:tcW w:w="0" w:type="auto"/>
            <w:vAlign w:val="center"/>
          </w:tcPr>
          <w:p>
            <w:pPr>
              <w:spacing w:before="0" w:after="0"/>
            </w:pPr>
            <w:r>
              <w:rPr>
                <w:color w:val="4a4a4a"/>
                <w:sz w:val="18"/>
              </w:rPr>
              <w:t>Unlawful refusal to open criminal case; Station Commander decided prosecutorial merit without reviewing evidence</w:t>
            </w:r>
          </w:p>
        </w:tc>
      </w:tr>
      <w:tr>
        <w:trPr>
          <w:trHeight w:val="360" w:hRule="atLeast"/>
        </w:trPr>
        <w:tc>
          <w:tcPr>
            <w:tcW w:w="0" w:type="auto"/>
            <w:vAlign w:val="center"/>
          </w:tcPr>
          <w:p>
            <w:pPr>
              <w:spacing w:before="0" w:after="0"/>
            </w:pPr>
            <w:r>
              <w:rPr>
                <w:b/>
                <w:color w:val="1a1f2e"/>
                <w:sz w:val="18"/>
              </w:rPr>
              <w:t/>
            </w:r>
          </w:p>
        </w:tc>
        <w:tc>
          <w:tcPr>
            <w:tcW w:w="0" w:type="auto"/>
            <w:vAlign w:val="center"/>
          </w:tcPr>
          <w:p>
            <w:pPr>
              <w:spacing w:before="0" w:after="0"/>
            </w:pPr>
            <w:r>
              <w:rPr>
                <w:color w:val="2d2d2d"/>
                <w:sz w:val="18"/>
              </w:rPr>
              <w:t>SAPS Provincial</w:t>
            </w:r>
          </w:p>
        </w:tc>
        <w:tc>
          <w:tcPr>
            <w:tcW w:w="0" w:type="auto"/>
            <w:vAlign w:val="center"/>
          </w:tcPr>
          <w:p>
            <w:pPr>
              <w:spacing w:before="0" w:after="0"/>
            </w:pPr>
            <w:r>
              <w:rPr>
                <w:color w:val="4a4a4a"/>
                <w:sz w:val="18"/>
              </w:rPr>
              <w:t>Multiple invalid email addresses; technical deflection</w:t>
            </w:r>
          </w:p>
        </w:tc>
      </w:tr>
      <w:tr>
        <w:trPr>
          <w:trHeight w:val="360" w:hRule="atLeast"/>
        </w:trPr>
        <w:tc>
          <w:tcPr>
            <w:tcW w:w="0" w:type="auto"/>
            <w:vAlign w:val="center"/>
          </w:tcPr>
          <w:p>
            <w:pPr>
              <w:spacing w:before="0" w:after="0"/>
            </w:pPr>
            <w:r>
              <w:rPr>
                <w:b/>
                <w:color w:val="1a1f2e"/>
                <w:sz w:val="18"/>
              </w:rPr>
              <w:t>Pharmacy Council (SAPC)</w:t>
            </w:r>
          </w:p>
        </w:tc>
        <w:tc>
          <w:tcPr>
            <w:tcW w:w="0" w:type="auto"/>
            <w:vAlign w:val="center"/>
          </w:tcPr>
          <w:p>
            <w:pPr>
              <w:spacing w:before="0" w:after="0"/>
            </w:pPr>
            <w:r>
              <w:rPr>
                <w:color w:val="2d2d2d"/>
                <w:sz w:val="18"/>
              </w:rPr>
              <w:t>SAPC</w:t>
            </w:r>
          </w:p>
        </w:tc>
        <w:tc>
          <w:tcPr>
            <w:tcW w:w="0" w:type="auto"/>
            <w:vAlign w:val="center"/>
          </w:tcPr>
          <w:p>
            <w:pPr>
              <w:spacing w:before="0" w:after="0"/>
            </w:pPr>
            <w:r>
              <w:rPr>
                <w:color w:val="4a4a4a"/>
                <w:sz w:val="18"/>
              </w:rPr>
              <w:t>Delayed response; server unreachable; request to resend attachments</w:t>
            </w:r>
          </w:p>
        </w:tc>
      </w:tr>
      <w:tr>
        <w:trPr>
          <w:trHeight w:val="360" w:hRule="atLeast"/>
        </w:trPr>
        <w:tc>
          <w:tcPr>
            <w:tcW w:w="0" w:type="auto"/>
            <w:vAlign w:val="center"/>
          </w:tcPr>
          <w:p>
            <w:pPr>
              <w:spacing w:before="0" w:after="0"/>
            </w:pPr>
            <w:r>
              <w:rPr>
                <w:b/>
                <w:color w:val="1a1f2e"/>
                <w:sz w:val="18"/>
              </w:rPr>
              <w:t>Nursing Council (SANC)</w:t>
            </w:r>
          </w:p>
        </w:tc>
        <w:tc>
          <w:tcPr>
            <w:tcW w:w="0" w:type="auto"/>
            <w:vAlign w:val="center"/>
          </w:tcPr>
          <w:p>
            <w:pPr>
              <w:spacing w:before="0" w:after="0"/>
            </w:pPr>
            <w:r>
              <w:rPr>
                <w:color w:val="2d2d2d"/>
                <w:sz w:val="18"/>
              </w:rPr>
              <w:t>SANC</w:t>
            </w:r>
          </w:p>
        </w:tc>
        <w:tc>
          <w:tcPr>
            <w:tcW w:w="0" w:type="auto"/>
            <w:vAlign w:val="center"/>
          </w:tcPr>
          <w:p>
            <w:pPr>
              <w:spacing w:before="0" w:after="0"/>
            </w:pPr>
            <w:r>
              <w:rPr>
                <w:color w:val="4a4a4a"/>
                <w:sz w:val="18"/>
              </w:rPr>
              <w:t>Complete non-response to professional misconduct complaint (6+ days silence); Ministerial escalation required</w:t>
            </w:r>
          </w:p>
        </w:tc>
      </w:tr>
      <w:tr>
        <w:trPr>
          <w:trHeight w:val="360" w:hRule="atLeast"/>
        </w:trPr>
        <w:tc>
          <w:tcPr>
            <w:tcW w:w="0" w:type="auto"/>
            <w:vAlign w:val="center"/>
          </w:tcPr>
          <w:p>
            <w:pPr>
              <w:spacing w:before="0" w:after="0"/>
            </w:pPr>
            <w:r>
              <w:rPr>
                <w:b/>
                <w:color w:val="1a1f2e"/>
                <w:sz w:val="18"/>
              </w:rPr>
              <w:t>Health Professions Council (HPCSA)</w:t>
            </w:r>
          </w:p>
        </w:tc>
        <w:tc>
          <w:tcPr>
            <w:tcW w:w="0" w:type="auto"/>
            <w:vAlign w:val="center"/>
          </w:tcPr>
          <w:p>
            <w:pPr>
              <w:spacing w:before="0" w:after="0"/>
            </w:pPr>
            <w:r>
              <w:rPr>
                <w:color w:val="2d2d2d"/>
                <w:sz w:val="18"/>
              </w:rPr>
              <w:t>HPCSA</w:t>
            </w:r>
          </w:p>
        </w:tc>
        <w:tc>
          <w:tcPr>
            <w:tcW w:w="0" w:type="auto"/>
            <w:vAlign w:val="center"/>
          </w:tcPr>
          <w:p>
            <w:pPr>
              <w:spacing w:before="0" w:after="0"/>
            </w:pPr>
            <w:r>
              <w:rPr>
                <w:color w:val="4a4a4a"/>
                <w:sz w:val="18"/>
              </w:rPr>
              <w:t>Passed buck to SANC ('no jurisdiction over nurses'); passed buck to SAPC for pharmacist</w:t>
            </w:r>
          </w:p>
        </w:tc>
      </w:tr>
      <w:tr>
        <w:trPr>
          <w:trHeight w:val="360" w:hRule="atLeast"/>
        </w:trPr>
        <w:tc>
          <w:tcPr>
            <w:tcW w:w="0" w:type="auto"/>
            <w:vAlign w:val="center"/>
          </w:tcPr>
          <w:p>
            <w:pPr>
              <w:spacing w:before="0" w:after="0"/>
            </w:pPr>
            <w:r>
              <w:rPr>
                <w:b/>
                <w:color w:val="1a1f2e"/>
                <w:sz w:val="18"/>
              </w:rPr>
              <w:t>B-BBEE Act</w:t>
            </w:r>
          </w:p>
        </w:tc>
        <w:tc>
          <w:tcPr>
            <w:tcW w:w="0" w:type="auto"/>
            <w:vAlign w:val="center"/>
          </w:tcPr>
          <w:p>
            <w:pPr>
              <w:spacing w:before="0" w:after="0"/>
            </w:pPr>
            <w:r>
              <w:rPr>
                <w:color w:val="2d2d2d"/>
                <w:sz w:val="18"/>
              </w:rPr>
              <w:t>B-BBEE Commission</w:t>
            </w:r>
          </w:p>
        </w:tc>
        <w:tc>
          <w:tcPr>
            <w:tcW w:w="0" w:type="auto"/>
            <w:vAlign w:val="center"/>
          </w:tcPr>
          <w:p>
            <w:pPr>
              <w:spacing w:before="0" w:after="0"/>
            </w:pPr>
            <w:r>
              <w:rPr>
                <w:color w:val="4a4a4a"/>
                <w:sz w:val="18"/>
              </w:rPr>
              <w:t>No documented response to fronting and misrepresentation concerns</w:t>
            </w:r>
          </w:p>
        </w:tc>
      </w:tr>
      <w:tr>
        <w:trPr>
          <w:trHeight w:val="360" w:hRule="atLeast"/>
        </w:trPr>
        <w:tc>
          <w:tcPr>
            <w:tcW w:w="0" w:type="auto"/>
            <w:vAlign w:val="center"/>
          </w:tcPr>
          <w:p>
            <w:pPr>
              <w:spacing w:before="0" w:after="0"/>
            </w:pPr>
            <w:r>
              <w:rPr>
                <w:b/>
                <w:color w:val="1a1f2e"/>
                <w:sz w:val="18"/>
              </w:rPr>
              <w:t>High Court (WC)</w:t>
            </w:r>
          </w:p>
        </w:tc>
        <w:tc>
          <w:tcPr>
            <w:tcW w:w="0" w:type="auto"/>
            <w:vAlign w:val="center"/>
          </w:tcPr>
          <w:p>
            <w:pPr>
              <w:spacing w:before="0" w:after="0"/>
            </w:pPr>
            <w:r>
              <w:rPr>
                <w:color w:val="2d2d2d"/>
                <w:sz w:val="18"/>
              </w:rPr>
              <w:t>High Court</w:t>
            </w:r>
          </w:p>
        </w:tc>
        <w:tc>
          <w:tcPr>
            <w:tcW w:w="0" w:type="auto"/>
            <w:vAlign w:val="center"/>
          </w:tcPr>
          <w:p>
            <w:pPr>
              <w:spacing w:before="0" w:after="0"/>
            </w:pPr>
            <w:r>
              <w:rPr>
                <w:color w:val="4a4a4a"/>
                <w:sz w:val="18"/>
              </w:rPr>
              <w:t>Punitive cost order against self-represented litigant in urgent application; Registrar's office non-responsive</w:t>
            </w:r>
          </w:p>
        </w:tc>
      </w:tr>
      <w:tr>
        <w:trPr>
          <w:trHeight w:val="360" w:hRule="atLeast"/>
        </w:trPr>
        <w:tc>
          <w:tcPr>
            <w:tcW w:w="0" w:type="auto"/>
            <w:vAlign w:val="center"/>
          </w:tcPr>
          <w:p>
            <w:pPr>
              <w:spacing w:before="0" w:after="0"/>
            </w:pPr>
            <w:r>
              <w:rPr>
                <w:b/>
                <w:color w:val="1a1f2e"/>
                <w:sz w:val="18"/>
              </w:rPr>
              <w:t>National Department of Health</w:t>
            </w:r>
          </w:p>
        </w:tc>
        <w:tc>
          <w:tcPr>
            <w:tcW w:w="0" w:type="auto"/>
            <w:vAlign w:val="center"/>
          </w:tcPr>
          <w:p>
            <w:pPr>
              <w:spacing w:before="0" w:after="0"/>
            </w:pPr>
            <w:r>
              <w:rPr>
                <w:color w:val="2d2d2d"/>
                <w:sz w:val="18"/>
              </w:rPr>
              <w:t>NDOH</w:t>
            </w:r>
          </w:p>
        </w:tc>
        <w:tc>
          <w:tcPr>
            <w:tcW w:w="0" w:type="auto"/>
            <w:vAlign w:val="center"/>
          </w:tcPr>
          <w:p>
            <w:pPr>
              <w:spacing w:before="0" w:after="0"/>
            </w:pPr>
            <w:r>
              <w:rPr>
                <w:color w:val="4a4a4a"/>
                <w:sz w:val="18"/>
              </w:rPr>
              <w:t>Actively requesting documents - only institution showing engagement (Feb 2026)</w:t>
            </w:r>
          </w:p>
        </w:tc>
      </w:tr>
      <w:tr>
        <w:trPr>
          <w:trHeight w:val="360" w:hRule="atLeast"/>
        </w:trPr>
        <w:tc>
          <w:tcPr>
            <w:tcW w:w="0" w:type="auto"/>
            <w:vAlign w:val="center"/>
          </w:tcPr>
          <w:p>
            <w:pPr>
              <w:spacing w:before="0" w:after="0"/>
            </w:pPr>
            <w:r>
              <w:rPr>
                <w:b/>
                <w:color w:val="1a1f2e"/>
                <w:sz w:val="18"/>
              </w:rPr>
              <w:t>Labour Court</w:t>
            </w:r>
          </w:p>
        </w:tc>
        <w:tc>
          <w:tcPr>
            <w:tcW w:w="0" w:type="auto"/>
            <w:vAlign w:val="center"/>
          </w:tcPr>
          <w:p>
            <w:pPr>
              <w:spacing w:before="0" w:after="0"/>
            </w:pPr>
            <w:r>
              <w:rPr>
                <w:color w:val="2d2d2d"/>
                <w:sz w:val="18"/>
              </w:rPr>
              <w:t>Labour Court</w:t>
            </w:r>
          </w:p>
        </w:tc>
        <w:tc>
          <w:tcPr>
            <w:tcW w:w="0" w:type="auto"/>
            <w:vAlign w:val="center"/>
          </w:tcPr>
          <w:p>
            <w:pPr>
              <w:spacing w:before="0" w:after="0"/>
            </w:pPr>
            <w:r>
              <w:rPr>
                <w:color w:val="4a4a4a"/>
                <w:sz w:val="18"/>
              </w:rPr>
              <w:t>Obstructed filing - confusing rejection reasons; lack of administrative support for self-represented litigants</w:t>
            </w:r>
          </w:p>
        </w:tc>
      </w:tr>
      <w:tr>
        <w:trPr>
          <w:trHeight w:val="360" w:hRule="atLeast"/>
        </w:trPr>
        <w:tc>
          <w:tcPr>
            <w:tcW w:w="0" w:type="auto"/>
            <w:vAlign w:val="center"/>
          </w:tcPr>
          <w:p>
            <w:pPr>
              <w:spacing w:before="0" w:after="0"/>
            </w:pPr>
            <w:r>
              <w:rPr>
                <w:b/>
                <w:color w:val="1a1f2e"/>
                <w:sz w:val="18"/>
              </w:rPr>
              <w:t>CCMA</w:t>
            </w:r>
          </w:p>
        </w:tc>
        <w:tc>
          <w:tcPr>
            <w:tcW w:w="0" w:type="auto"/>
            <w:vAlign w:val="center"/>
          </w:tcPr>
          <w:p>
            <w:pPr>
              <w:spacing w:before="0" w:after="0"/>
            </w:pPr>
            <w:r>
              <w:rPr>
                <w:color w:val="2d2d2d"/>
                <w:sz w:val="18"/>
              </w:rPr>
              <w:t>CCMA</w:t>
            </w:r>
          </w:p>
        </w:tc>
        <w:tc>
          <w:tcPr>
            <w:tcW w:w="0" w:type="auto"/>
            <w:vAlign w:val="center"/>
          </w:tcPr>
          <w:p>
            <w:pPr>
              <w:spacing w:before="0" w:after="0"/>
            </w:pPr>
            <w:r>
              <w:rPr>
                <w:color w:val="4a4a4a"/>
                <w:sz w:val="18"/>
              </w:rPr>
              <w:t>Commissioner bias; mailbox full (technical failure); lack of jurisdiction for PDA matters; passed buck to Labour Court</w:t>
            </w:r>
          </w:p>
        </w:tc>
      </w:tr>
      <w:tr>
        <w:trPr>
          <w:trHeight w:val="360" w:hRule="atLeast"/>
        </w:trPr>
        <w:tc>
          <w:tcPr>
            <w:tcW w:w="0" w:type="auto"/>
            <w:vAlign w:val="center"/>
          </w:tcPr>
          <w:p>
            <w:pPr>
              <w:spacing w:before="0" w:after="0"/>
            </w:pPr>
            <w:r>
              <w:rPr>
                <w:b/>
                <w:color w:val="1a1f2e"/>
                <w:sz w:val="18"/>
              </w:rPr>
              <w:t>Department of Employment &amp; Labour</w:t>
            </w:r>
          </w:p>
        </w:tc>
        <w:tc>
          <w:tcPr>
            <w:tcW w:w="0" w:type="auto"/>
            <w:vAlign w:val="center"/>
          </w:tcPr>
          <w:p>
            <w:pPr>
              <w:spacing w:before="0" w:after="0"/>
            </w:pPr>
            <w:r>
              <w:rPr>
                <w:color w:val="2d2d2d"/>
                <w:sz w:val="18"/>
              </w:rPr>
              <w:t>DEL</w:t>
            </w:r>
          </w:p>
        </w:tc>
        <w:tc>
          <w:tcPr>
            <w:tcW w:w="0" w:type="auto"/>
            <w:vAlign w:val="center"/>
          </w:tcPr>
          <w:p>
            <w:pPr>
              <w:spacing w:before="0" w:after="0"/>
            </w:pPr>
            <w:r>
              <w:rPr>
                <w:color w:val="4a4a4a"/>
                <w:sz w:val="18"/>
              </w:rPr>
              <w:t>Delayed acknowledgment (6 days); lacks authority for high earners; passed buck to UIF unit and CCMA</w:t>
            </w:r>
          </w:p>
        </w:tc>
      </w:tr>
      <w:tr>
        <w:trPr>
          <w:trHeight w:val="360" w:hRule="atLeast"/>
        </w:trPr>
        <w:tc>
          <w:tcPr>
            <w:tcW w:w="0" w:type="auto"/>
            <w:vAlign w:val="center"/>
          </w:tcPr>
          <w:p>
            <w:pPr>
              <w:spacing w:before="0" w:after="0"/>
            </w:pPr>
            <w:r>
              <w:rPr>
                <w:b/>
                <w:color w:val="1a1f2e"/>
                <w:sz w:val="18"/>
              </w:rPr>
              <w:t>Human Rights Framework</w:t>
            </w:r>
          </w:p>
        </w:tc>
        <w:tc>
          <w:tcPr>
            <w:tcW w:w="0" w:type="auto"/>
            <w:vAlign w:val="center"/>
          </w:tcPr>
          <w:p>
            <w:pPr>
              <w:spacing w:before="0" w:after="0"/>
            </w:pPr>
            <w:r>
              <w:rPr>
                <w:color w:val="2d2d2d"/>
                <w:sz w:val="18"/>
              </w:rPr>
              <w:t>SAHRC</w:t>
            </w:r>
          </w:p>
        </w:tc>
        <w:tc>
          <w:tcPr>
            <w:tcW w:w="0" w:type="auto"/>
            <w:vAlign w:val="center"/>
          </w:tcPr>
          <w:p>
            <w:pPr>
              <w:spacing w:before="0" w:after="0"/>
            </w:pPr>
            <w:r>
              <w:rPr>
                <w:color w:val="4a4a4a"/>
                <w:sz w:val="18"/>
              </w:rPr>
              <w:t>Passed buck to CCMA/Labour Court and Public Protector - 'not best placed' despite systemic violations</w:t>
            </w:r>
          </w:p>
        </w:tc>
      </w:tr>
    </w:tbl>
    <w:sectPr>
      <w:headerReference w:type="default" r:id="R3e5cb003e217471e"/>
      <w:footerReference w:type="default" r:id="R1ff81d585fb74e7f"/>
      <w:pgSz w:w="11906" w:h="16838"/>
      <w:pgMar w:top="1800" w:right="1080" w:bottom="1440" w:left="1080" w:header="720" w:footer="720"/>
    </w:sectPr>
  </w:body>
</w:document>
</file>

<file path=word/footer1.xml><?xml version="1.0" encoding="utf-8"?>
<w:ftr xmlns:w="http://schemas.openxmlformats.org/wordprocessingml/2006/main">
  <w:p>
    <w:pPr>
      <w:jc w:val="center"/>
    </w:pPr>
    <w:r>
      <w:rPr>
        <w:color w:val="4a4a4a"/>
        <w:sz w:val="20"/>
      </w:rPr>
      <w:t xml:space="preserve">Page </w:t>
    </w:r>
    <w:r>
      <w:rPr>
        <w:color w:val="4a4a4a"/>
        <w:sz w:val="20"/>
      </w:rPr>
      <w:fldChar w:fldCharType="begin"/>
      <w:instrText xml:space="preserve"> PAGE </w:instrText>
      <w:fldChar w:fldCharType="separate"/>
      <w:t>1</w:t>
      <w:fldChar w:fldCharType="end"/>
    </w:r>
    <w:r>
      <w:rPr>
        <w:color w:val="4a4a4a"/>
        <w:sz w:val="20"/>
      </w:rPr>
      <w:t xml:space="preserve"> of </w:t>
    </w:r>
    <w:r>
      <w:rPr>
        <w:color w:val="4a4a4a"/>
        <w:sz w:val="20"/>
      </w:rPr>
      <w:fldChar w:fldCharType="begin"/>
      <w:instrText xml:space="preserve"> NUMPAGES </w:instrText>
      <w:fldChar w:fldCharType="separate"/>
      <w:t>1</w:t>
      <w:fldChar w:fldCharType="end"/>
    </w:r>
  </w:p>
</w:ftr>
</file>

<file path=word/header1.xml><?xml version="1.0" encoding="utf-8"?>
<w:hdr xmlns:w="http://schemas.openxmlformats.org/wordprocessingml/2006/main">
  <w:tbl>
    <w:tblPr>
      <w:tblW w:w="5000" w:type="pct"/>
      <w:shd w:val="clear" w:fill="1a1f2e"/>
    </w:tblPr>
    <w:tblGrid>
      <w:gridCol w:w="5000"/>
      <w:gridCol w:w="5000"/>
    </w:tblGrid>
    <w:tr>
      <w:tc>
        <w:tcPr>
          <w:tcW w:w="5000" w:type="dxa"/>
          <w:shd w:val="clear" w:fill="1a1f2e"/>
          <w:tcMar>
            <w:top w:w="150" w:type="dxa"/>
            <w:left w:w="200" w:type="dxa"/>
            <w:bottom w:w="150" w:type="dxa"/>
          </w:tcMar>
        </w:tcPr>
        <w:p>
          <w:pPr>
            <w:spacing w:after="0"/>
          </w:pPr>
          <w:r>
            <w:rPr>
              <w:b/>
              <w:color w:val="d4af37"/>
              <w:sz w:val="44"/>
            </w:rPr>
            <w:t>ETHICHAWKS</w:t>
          </w:r>
        </w:p>
        <w:p>
          <w:pPr>
            <w:spacing w:after="0"/>
          </w:pPr>
          <w:r>
            <w:rPr>
              <w:i/>
              <w:color w:val="ffffff"/>
              <w:sz w:val="20"/>
            </w:rPr>
            <w:t>Forensic Governance &amp; Compliance</w:t>
          </w:r>
        </w:p>
      </w:tc>
      <w:tc>
        <w:tcPr>
          <w:tcW w:w="5000" w:type="dxa"/>
          <w:shd w:val="clear" w:fill="1a1f2e"/>
          <w:tcMar>
            <w:top w:w="150" w:type="dxa"/>
            <w:bottom w:w="150" w:type="dxa"/>
            <w:right w:w="200" w:type="dxa"/>
          </w:tcMar>
        </w:tcPr>
        <w:p>
          <w:pPr>
            <w:spacing w:after="40"/>
            <w:jc w:val="right"/>
          </w:pPr>
          <w:r>
            <w:rPr>
              <w:color w:val="ffffff"/>
              <w:sz w:val="18"/>
            </w:rPr>
            <w:t>info@ethichawks.co.za | wilburmat@gmail.com</w:t>
          </w:r>
        </w:p>
        <w:p>
          <w:pPr>
            <w:spacing w:after="40"/>
            <w:jc w:val="right"/>
          </w:pPr>
          <w:r>
            <w:rPr>
              <w:color w:val="ffffff"/>
              <w:sz w:val="18"/>
            </w:rPr>
            <w:t>Tel: 069 635 1435 / 063 378 8782</w:t>
          </w:r>
        </w:p>
        <w:p>
          <w:pPr>
            <w:spacing w:after="0"/>
            <w:jc w:val="right"/>
          </w:pPr>
          <w:r>
            <w:rPr>
              <w:color w:val="ffffff"/>
              <w:sz w:val="18"/>
            </w:rPr>
            <w:t>15 Bellevue Street, Voorbrug, Cape Town, 7100</w:t>
          </w:r>
        </w:p>
      </w:tc>
    </w:tr>
  </w:tbl>
  <w:tbl>
    <w:tblPr>
      <w:tblW w:w="5000" w:type="pct"/>
    </w:tblPr>
    <w:tblGrid>
      <w:gridCol w:w="10000"/>
    </w:tblGrid>
    <w:tr>
      <w:tc>
        <w:tcPr>
          <w:tcW w:w="10000" w:type="dxa"/>
          <w:tcBorders>
            <w:bottom w:val="single" w:color="d4af37" w:sz="12"/>
          </w:tcBorders>
        </w:tcPr>
        <w:p/>
      </w:tc>
    </w:tr>
  </w:tbl>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Arial" w:hAnsi="Arial"/>
      <w:color w:val="2d2d2d"/>
      <w:sz w:val="22"/>
    </w:rPr>
  </w:style>
  <w:style w:type="paragraph" w:styleId="Heading1">
    <w:name w:val="heading 1"/>
    <w:basedOn w:val="Normal"/>
    <w:pPr>
      <w:keepNext/>
      <w:keepLines/>
      <w:spacing w:before="400" w:after="200"/>
      <w:outlineLvl w:val="0"/>
    </w:pPr>
    <w:rPr>
      <w:b/>
      <w:color w:val="1a1f2e"/>
      <w:sz w:val="32"/>
    </w:rPr>
  </w:style>
</w:styles>
</file>

<file path=word/_rels/document.xml.rels>&#65279;<?xml version="1.0" encoding="utf-8"?><Relationships xmlns="http://schemas.openxmlformats.org/package/2006/relationships"><Relationship Type="http://schemas.openxmlformats.org/officeDocument/2006/relationships/styles" Target="/word/styles.xml" Id="R6ab744c6f9e241ae" /><Relationship Type="http://schemas.openxmlformats.org/officeDocument/2006/relationships/header" Target="/word/header1.xml" Id="R3e5cb003e217471e" /><Relationship Type="http://schemas.openxmlformats.org/officeDocument/2006/relationships/footer" Target="/word/footer1.xml" Id="R1ff81d585fb74e7f" /><Relationship Type="http://schemas.openxmlformats.org/officeDocument/2006/relationships/settings" Target="/word/settings.xml" Id="R4d6070ea3d0e4ce1" /></Relationships>
</file>