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r>
        <w:t xml:space="preserve"/>
      </w:r>
    </w:p>
    <w:p>
      <w:pPr>
        <w:spacing w:before="0" w:after="80"/>
        <w:jc w:val="center"/>
      </w:pPr>
      <w:r>
        <w:rPr>
          <w:rFonts w:ascii="Arial" w:cs="Arial" w:eastAsia="Arial" w:hAnsi="Arial"/>
          <w:b/>
          <w:bCs/>
          <w:color w:val="006B6B"/>
          <w:sz w:val="36"/>
          <w:szCs w:val="36"/>
        </w:rPr>
        <w:t xml:space="preserve">SOFTWARE LICENCE AND SERVICE AGREEMENT</w:t>
      </w:r>
    </w:p>
    <w:p>
      <w:pPr>
        <w:spacing w:before="0" w:after="60"/>
        <w:jc w:val="center"/>
      </w:pPr>
      <w:r>
        <w:rPr>
          <w:rFonts w:ascii="Arial" w:cs="Arial" w:eastAsia="Arial" w:hAnsi="Arial"/>
          <w:i/>
          <w:iCs/>
          <w:color w:val="555555"/>
          <w:sz w:val="22"/>
          <w:szCs w:val="22"/>
        </w:rPr>
        <w:t xml:space="preserve">PalCare Clinical Governance Platform — SaaS Terms</w:t>
      </w:r>
    </w:p>
    <w:p>
      <w:pPr>
        <w:spacing w:before="0" w:after="40"/>
        <w:jc w:val="center"/>
      </w:pPr>
      <w:r>
        <w:rPr>
          <w:rFonts w:ascii="Arial" w:cs="Arial" w:eastAsia="Arial" w:hAnsi="Arial"/>
          <w:color w:val="999999"/>
          <w:sz w:val="18"/>
          <w:szCs w:val="18"/>
        </w:rPr>
        <w:t xml:space="preserve">EthicHawks (Pty) Ltd  ·  Cape Town, South Africa</w:t>
      </w:r>
    </w:p>
    <w:p>
      <w:pPr>
        <w:spacing w:before="0" w:after="280"/>
        <w:jc w:val="center"/>
      </w:pPr>
      <w:r>
        <w:rPr>
          <w:rFonts w:ascii="Arial" w:cs="Arial" w:eastAsia="Arial" w:hAnsi="Arial"/>
          <w:i/>
          <w:iCs/>
          <w:color w:val="BBBBBB"/>
          <w:sz w:val="17"/>
          <w:szCs w:val="17"/>
        </w:rPr>
        <w:t xml:space="preserve">EthicHawks (Pty) Ltd  ·  Confidential  ·  2026</w:t>
      </w:r>
    </w:p>
    <w:p>
      <w:pPr>
        <w:spacing w:before="0" w:after="80"/>
        <w:jc w:val="left"/>
      </w:pPr>
      <w:r>
        <w:rPr>
          <w:rFonts w:ascii="Arial" w:cs="Arial" w:eastAsia="Arial" w:hAnsi="Arial"/>
          <w:b w:val="false"/>
          <w:bCs w:val="false"/>
          <w:i/>
          <w:iCs/>
          <w:color w:val="555555"/>
          <w:sz w:val="20"/>
          <w:szCs w:val="20"/>
        </w:rPr>
        <w:t xml:space="preserve">This Software Licence and Service Agreement governs access to and use of the PalCare platform by any healthcare facility ("Client") that subscribes to the service. By signing an Order Form referencing these terms, the Client agrees to be bound by this Agreement.</w:t>
      </w:r>
    </w:p>
    <w:p>
      <w:pPr>
        <w:pBdr>
          <w:bottom w:val="single" w:color="006B6B" w:sz="3" w:space="2"/>
        </w:pBdr>
        <w:spacing w:before="280" w:after="80"/>
      </w:pPr>
      <w:r>
        <w:rPr>
          <w:rFonts w:ascii="Arial" w:cs="Arial" w:eastAsia="Arial" w:hAnsi="Arial"/>
          <w:b/>
          <w:bCs/>
          <w:color w:val="006B6B"/>
          <w:sz w:val="21"/>
          <w:szCs w:val="21"/>
        </w:rPr>
        <w:t xml:space="preserve">1.  </w:t>
      </w:r>
      <w:r>
        <w:rPr>
          <w:rFonts w:ascii="Arial" w:cs="Arial" w:eastAsia="Arial" w:hAnsi="Arial"/>
          <w:b/>
          <w:bCs/>
          <w:color w:val="006B6B"/>
          <w:sz w:val="21"/>
          <w:szCs w:val="21"/>
        </w:rPr>
        <w:t xml:space="preserve">LICENCE GRANT</w:t>
      </w:r>
    </w:p>
    <w:p>
      <w:pPr>
        <w:spacing w:before="160" w:after="40"/>
      </w:pPr>
      <w:r>
        <w:rPr>
          <w:rFonts w:ascii="Arial" w:cs="Arial" w:eastAsia="Arial" w:hAnsi="Arial"/>
          <w:b/>
          <w:bCs/>
          <w:color w:val="1A1A1A"/>
          <w:sz w:val="20"/>
          <w:szCs w:val="20"/>
        </w:rPr>
        <w:t xml:space="preserve">1.1  </w:t>
      </w:r>
      <w:r>
        <w:rPr>
          <w:rFonts w:ascii="Arial" w:cs="Arial" w:eastAsia="Arial" w:hAnsi="Arial"/>
          <w:b/>
          <w:bCs/>
          <w:color w:val="1A1A1A"/>
          <w:sz w:val="20"/>
          <w:szCs w:val="20"/>
        </w:rPr>
        <w:t xml:space="preserve">Scope</w:t>
      </w:r>
    </w:p>
    <w:p>
      <w:pPr>
        <w:spacing w:before="40" w:after="80"/>
        <w:ind w:left="360"/>
      </w:pPr>
      <w:r>
        <w:rPr>
          <w:rFonts w:ascii="Arial" w:cs="Arial" w:eastAsia="Arial" w:hAnsi="Arial"/>
          <w:color w:val="1A1A1A"/>
          <w:sz w:val="20"/>
          <w:szCs w:val="20"/>
        </w:rPr>
        <w:t xml:space="preserve">EthicHawks (Pty) Ltd ("Provider") grants the Client a limited, non-exclusive, non-transferable, revocable licence to access and use PalCare during the Subscription Term solely for the Client's internal clinical governance purposes.</w:t>
      </w:r>
    </w:p>
    <w:p>
      <w:pPr>
        <w:spacing w:before="160" w:after="40"/>
      </w:pPr>
      <w:r>
        <w:rPr>
          <w:rFonts w:ascii="Arial" w:cs="Arial" w:eastAsia="Arial" w:hAnsi="Arial"/>
          <w:b/>
          <w:bCs/>
          <w:color w:val="1A1A1A"/>
          <w:sz w:val="20"/>
          <w:szCs w:val="20"/>
        </w:rPr>
        <w:t xml:space="preserve">1.2  </w:t>
      </w:r>
      <w:r>
        <w:rPr>
          <w:rFonts w:ascii="Arial" w:cs="Arial" w:eastAsia="Arial" w:hAnsi="Arial"/>
          <w:b/>
          <w:bCs/>
          <w:color w:val="1A1A1A"/>
          <w:sz w:val="20"/>
          <w:szCs w:val="20"/>
        </w:rPr>
        <w:t xml:space="preserve">Authorised Users</w:t>
      </w:r>
    </w:p>
    <w:p>
      <w:pPr>
        <w:spacing w:before="40" w:after="80"/>
        <w:ind w:left="360"/>
      </w:pPr>
      <w:r>
        <w:rPr>
          <w:rFonts w:ascii="Arial" w:cs="Arial" w:eastAsia="Arial" w:hAnsi="Arial"/>
          <w:color w:val="1A1A1A"/>
          <w:sz w:val="20"/>
          <w:szCs w:val="20"/>
        </w:rPr>
        <w:t xml:space="preserve">The licence extends to such number of authorised users as specified in the applicable Order Form. The Client shall not allow third parties to access PalCare without written consent from the Provider.</w:t>
      </w:r>
    </w:p>
    <w:p>
      <w:pPr>
        <w:spacing w:before="160" w:after="40"/>
      </w:pPr>
      <w:r>
        <w:rPr>
          <w:rFonts w:ascii="Arial" w:cs="Arial" w:eastAsia="Arial" w:hAnsi="Arial"/>
          <w:b/>
          <w:bCs/>
          <w:color w:val="1A1A1A"/>
          <w:sz w:val="20"/>
          <w:szCs w:val="20"/>
        </w:rPr>
        <w:t xml:space="preserve">1.3  </w:t>
      </w:r>
      <w:r>
        <w:rPr>
          <w:rFonts w:ascii="Arial" w:cs="Arial" w:eastAsia="Arial" w:hAnsi="Arial"/>
          <w:b/>
          <w:bCs/>
          <w:color w:val="1A1A1A"/>
          <w:sz w:val="20"/>
          <w:szCs w:val="20"/>
        </w:rPr>
        <w:t xml:space="preserve">Restrictions</w:t>
      </w:r>
    </w:p>
    <w:p>
      <w:pPr>
        <w:spacing w:before="40" w:after="80"/>
        <w:ind w:left="360"/>
      </w:pPr>
      <w:r>
        <w:rPr>
          <w:rFonts w:ascii="Arial" w:cs="Arial" w:eastAsia="Arial" w:hAnsi="Arial"/>
          <w:color w:val="1A1A1A"/>
          <w:sz w:val="20"/>
          <w:szCs w:val="20"/>
        </w:rPr>
        <w:t xml:space="preserve">The Client shall not: (a) copy, modify, or create derivative works of PalCare; (b) reverse engineer, disassemble, or decompile any component; (c) sublicence, sell, or transfer the licence; (d) use PalCare for any purpose other than clinical governance.</w:t>
      </w:r>
    </w:p>
    <w:p>
      <w:pPr>
        <w:pBdr>
          <w:bottom w:val="single" w:color="006B6B" w:sz="3" w:space="2"/>
        </w:pBdr>
        <w:spacing w:before="280" w:after="80"/>
      </w:pPr>
      <w:r>
        <w:rPr>
          <w:rFonts w:ascii="Arial" w:cs="Arial" w:eastAsia="Arial" w:hAnsi="Arial"/>
          <w:b/>
          <w:bCs/>
          <w:color w:val="006B6B"/>
          <w:sz w:val="21"/>
          <w:szCs w:val="21"/>
        </w:rPr>
        <w:t xml:space="preserve">2.  </w:t>
      </w:r>
      <w:r>
        <w:rPr>
          <w:rFonts w:ascii="Arial" w:cs="Arial" w:eastAsia="Arial" w:hAnsi="Arial"/>
          <w:b/>
          <w:bCs/>
          <w:color w:val="006B6B"/>
          <w:sz w:val="21"/>
          <w:szCs w:val="21"/>
        </w:rPr>
        <w:t xml:space="preserve">SERVICE LEVELS</w:t>
      </w:r>
    </w:p>
    <w:p>
      <w:pPr>
        <w:spacing w:before="160" w:after="40"/>
      </w:pPr>
      <w:r>
        <w:rPr>
          <w:rFonts w:ascii="Arial" w:cs="Arial" w:eastAsia="Arial" w:hAnsi="Arial"/>
          <w:b/>
          <w:bCs/>
          <w:color w:val="1A1A1A"/>
          <w:sz w:val="20"/>
          <w:szCs w:val="20"/>
        </w:rPr>
        <w:t xml:space="preserve">2.1  </w:t>
      </w:r>
      <w:r>
        <w:rPr>
          <w:rFonts w:ascii="Arial" w:cs="Arial" w:eastAsia="Arial" w:hAnsi="Arial"/>
          <w:b/>
          <w:bCs/>
          <w:color w:val="1A1A1A"/>
          <w:sz w:val="20"/>
          <w:szCs w:val="20"/>
        </w:rPr>
        <w:t xml:space="preserve">Availability</w:t>
      </w:r>
    </w:p>
    <w:p>
      <w:pPr>
        <w:spacing w:before="40" w:after="80"/>
        <w:ind w:left="360"/>
      </w:pPr>
      <w:r>
        <w:rPr>
          <w:rFonts w:ascii="Arial" w:cs="Arial" w:eastAsia="Arial" w:hAnsi="Arial"/>
          <w:color w:val="1A1A1A"/>
          <w:sz w:val="20"/>
          <w:szCs w:val="20"/>
        </w:rPr>
        <w:t xml:space="preserve">The Provider shall use commercially reasonable efforts to ensure PalCare is available 99% of the time during business hours, excluding scheduled maintenance and force majeure events.</w:t>
      </w:r>
    </w:p>
    <w:p>
      <w:pPr>
        <w:spacing w:before="160" w:after="40"/>
      </w:pPr>
      <w:r>
        <w:rPr>
          <w:rFonts w:ascii="Arial" w:cs="Arial" w:eastAsia="Arial" w:hAnsi="Arial"/>
          <w:b/>
          <w:bCs/>
          <w:color w:val="1A1A1A"/>
          <w:sz w:val="20"/>
          <w:szCs w:val="20"/>
        </w:rPr>
        <w:t xml:space="preserve">2.2  </w:t>
      </w:r>
      <w:r>
        <w:rPr>
          <w:rFonts w:ascii="Arial" w:cs="Arial" w:eastAsia="Arial" w:hAnsi="Arial"/>
          <w:b/>
          <w:bCs/>
          <w:color w:val="1A1A1A"/>
          <w:sz w:val="20"/>
          <w:szCs w:val="20"/>
        </w:rPr>
        <w:t xml:space="preserve">Maintenance</w:t>
      </w:r>
    </w:p>
    <w:p>
      <w:pPr>
        <w:spacing w:before="40" w:after="80"/>
        <w:ind w:left="360"/>
      </w:pPr>
      <w:r>
        <w:rPr>
          <w:rFonts w:ascii="Arial" w:cs="Arial" w:eastAsia="Arial" w:hAnsi="Arial"/>
          <w:color w:val="1A1A1A"/>
          <w:sz w:val="20"/>
          <w:szCs w:val="20"/>
        </w:rPr>
        <w:t xml:space="preserve">Scheduled maintenance shall be conducted during off-peak hours with at least 48 hours' advance notice to the Client.</w:t>
      </w:r>
    </w:p>
    <w:p>
      <w:pPr>
        <w:spacing w:before="160" w:after="40"/>
      </w:pPr>
      <w:r>
        <w:rPr>
          <w:rFonts w:ascii="Arial" w:cs="Arial" w:eastAsia="Arial" w:hAnsi="Arial"/>
          <w:b/>
          <w:bCs/>
          <w:color w:val="1A1A1A"/>
          <w:sz w:val="20"/>
          <w:szCs w:val="20"/>
        </w:rPr>
        <w:t xml:space="preserve">2.3  </w:t>
      </w:r>
      <w:r>
        <w:rPr>
          <w:rFonts w:ascii="Arial" w:cs="Arial" w:eastAsia="Arial" w:hAnsi="Arial"/>
          <w:b/>
          <w:bCs/>
          <w:color w:val="1A1A1A"/>
          <w:sz w:val="20"/>
          <w:szCs w:val="20"/>
        </w:rPr>
        <w:t xml:space="preserve">Support</w:t>
      </w:r>
    </w:p>
    <w:p>
      <w:pPr>
        <w:spacing w:before="40" w:after="80"/>
        <w:ind w:left="360"/>
      </w:pPr>
      <w:r>
        <w:rPr>
          <w:rFonts w:ascii="Arial" w:cs="Arial" w:eastAsia="Arial" w:hAnsi="Arial"/>
          <w:color w:val="1A1A1A"/>
          <w:sz w:val="20"/>
          <w:szCs w:val="20"/>
        </w:rPr>
        <w:t xml:space="preserve">The Provider shall provide tier-1 technical support via email and phone during South African business hours. Response times: Critical issues (system down) — 4 hours; Major issues — 1 business day; Minor issues — 3 business days.</w:t>
      </w:r>
    </w:p>
    <w:p>
      <w:pPr>
        <w:spacing w:before="160" w:after="40"/>
      </w:pPr>
      <w:r>
        <w:rPr>
          <w:rFonts w:ascii="Arial" w:cs="Arial" w:eastAsia="Arial" w:hAnsi="Arial"/>
          <w:b/>
          <w:bCs/>
          <w:color w:val="1A1A1A"/>
          <w:sz w:val="20"/>
          <w:szCs w:val="20"/>
        </w:rPr>
        <w:t xml:space="preserve">2.4  </w:t>
      </w:r>
      <w:r>
        <w:rPr>
          <w:rFonts w:ascii="Arial" w:cs="Arial" w:eastAsia="Arial" w:hAnsi="Arial"/>
          <w:b/>
          <w:bCs/>
          <w:color w:val="1A1A1A"/>
          <w:sz w:val="20"/>
          <w:szCs w:val="20"/>
        </w:rPr>
        <w:t xml:space="preserve">Updates</w:t>
      </w:r>
    </w:p>
    <w:p>
      <w:pPr>
        <w:spacing w:before="40" w:after="80"/>
        <w:ind w:left="360"/>
      </w:pPr>
      <w:r>
        <w:rPr>
          <w:rFonts w:ascii="Arial" w:cs="Arial" w:eastAsia="Arial" w:hAnsi="Arial"/>
          <w:color w:val="1A1A1A"/>
          <w:sz w:val="20"/>
          <w:szCs w:val="20"/>
        </w:rPr>
        <w:t xml:space="preserve">The Provider may update or modify PalCare at any time, provided that material changes that adversely affect the Client's use shall be notified 30 days in advance.</w:t>
      </w:r>
    </w:p>
    <w:p>
      <w:pPr>
        <w:pBdr>
          <w:bottom w:val="single" w:color="006B6B" w:sz="3" w:space="2"/>
        </w:pBdr>
        <w:spacing w:before="280" w:after="80"/>
      </w:pPr>
      <w:r>
        <w:rPr>
          <w:rFonts w:ascii="Arial" w:cs="Arial" w:eastAsia="Arial" w:hAnsi="Arial"/>
          <w:b/>
          <w:bCs/>
          <w:color w:val="006B6B"/>
          <w:sz w:val="21"/>
          <w:szCs w:val="21"/>
        </w:rPr>
        <w:t xml:space="preserve">3.  </w:t>
      </w:r>
      <w:r>
        <w:rPr>
          <w:rFonts w:ascii="Arial" w:cs="Arial" w:eastAsia="Arial" w:hAnsi="Arial"/>
          <w:b/>
          <w:bCs/>
          <w:color w:val="006B6B"/>
          <w:sz w:val="21"/>
          <w:szCs w:val="21"/>
        </w:rPr>
        <w:t xml:space="preserve">SUBSCRIPTION FEES</w:t>
      </w:r>
    </w:p>
    <w:p>
      <w:pPr>
        <w:spacing w:before="160" w:after="40"/>
      </w:pPr>
      <w:r>
        <w:rPr>
          <w:rFonts w:ascii="Arial" w:cs="Arial" w:eastAsia="Arial" w:hAnsi="Arial"/>
          <w:b/>
          <w:bCs/>
          <w:color w:val="1A1A1A"/>
          <w:sz w:val="20"/>
          <w:szCs w:val="20"/>
        </w:rPr>
        <w:t xml:space="preserve">3.1  </w:t>
      </w:r>
      <w:r>
        <w:rPr>
          <w:rFonts w:ascii="Arial" w:cs="Arial" w:eastAsia="Arial" w:hAnsi="Arial"/>
          <w:b/>
          <w:bCs/>
          <w:color w:val="1A1A1A"/>
          <w:sz w:val="20"/>
          <w:szCs w:val="20"/>
        </w:rPr>
        <w:t xml:space="preserve">Fee Structure</w:t>
      </w:r>
    </w:p>
    <w:p>
      <w:pPr>
        <w:spacing w:before="40" w:after="80"/>
        <w:ind w:left="360"/>
      </w:pPr>
      <w:r>
        <w:rPr>
          <w:rFonts w:ascii="Arial" w:cs="Arial" w:eastAsia="Arial" w:hAnsi="Arial"/>
          <w:color w:val="1A1A1A"/>
          <w:sz w:val="20"/>
          <w:szCs w:val="20"/>
        </w:rPr>
        <w:t xml:space="preserve">Subscription fees are set out in the applicable Order Form. The base fee is R[●] per facility per month, inclusive of standard support. Additional modules and users may attract additional fees as specified.</w:t>
      </w:r>
    </w:p>
    <w:p>
      <w:pPr>
        <w:spacing w:before="160" w:after="40"/>
      </w:pPr>
      <w:r>
        <w:rPr>
          <w:rFonts w:ascii="Arial" w:cs="Arial" w:eastAsia="Arial" w:hAnsi="Arial"/>
          <w:b/>
          <w:bCs/>
          <w:color w:val="1A1A1A"/>
          <w:sz w:val="20"/>
          <w:szCs w:val="20"/>
        </w:rPr>
        <w:t xml:space="preserve">3.2  </w:t>
      </w:r>
      <w:r>
        <w:rPr>
          <w:rFonts w:ascii="Arial" w:cs="Arial" w:eastAsia="Arial" w:hAnsi="Arial"/>
          <w:b/>
          <w:bCs/>
          <w:color w:val="1A1A1A"/>
          <w:sz w:val="20"/>
          <w:szCs w:val="20"/>
        </w:rPr>
        <w:t xml:space="preserve">Payment Terms</w:t>
      </w:r>
    </w:p>
    <w:p>
      <w:pPr>
        <w:spacing w:before="40" w:after="80"/>
        <w:ind w:left="360"/>
      </w:pPr>
      <w:r>
        <w:rPr>
          <w:rFonts w:ascii="Arial" w:cs="Arial" w:eastAsia="Arial" w:hAnsi="Arial"/>
          <w:color w:val="1A1A1A"/>
          <w:sz w:val="20"/>
          <w:szCs w:val="20"/>
        </w:rPr>
        <w:t xml:space="preserve">Fees are payable monthly in advance by EFT within 7 days of invoice.</w:t>
      </w:r>
    </w:p>
    <w:p>
      <w:pPr>
        <w:spacing w:before="160" w:after="40"/>
      </w:pPr>
      <w:r>
        <w:rPr>
          <w:rFonts w:ascii="Arial" w:cs="Arial" w:eastAsia="Arial" w:hAnsi="Arial"/>
          <w:b/>
          <w:bCs/>
          <w:color w:val="1A1A1A"/>
          <w:sz w:val="20"/>
          <w:szCs w:val="20"/>
        </w:rPr>
        <w:t xml:space="preserve">3.3  </w:t>
      </w:r>
      <w:r>
        <w:rPr>
          <w:rFonts w:ascii="Arial" w:cs="Arial" w:eastAsia="Arial" w:hAnsi="Arial"/>
          <w:b/>
          <w:bCs/>
          <w:color w:val="1A1A1A"/>
          <w:sz w:val="20"/>
          <w:szCs w:val="20"/>
        </w:rPr>
        <w:t xml:space="preserve">Escalation</w:t>
      </w:r>
    </w:p>
    <w:p>
      <w:pPr>
        <w:spacing w:before="40" w:after="80"/>
        <w:ind w:left="360"/>
      </w:pPr>
      <w:r>
        <w:rPr>
          <w:rFonts w:ascii="Arial" w:cs="Arial" w:eastAsia="Arial" w:hAnsi="Arial"/>
          <w:color w:val="1A1A1A"/>
          <w:sz w:val="20"/>
          <w:szCs w:val="20"/>
        </w:rPr>
        <w:t xml:space="preserve">Fees shall escalate annually on the anniversary of the Subscription Start Date by the lesser of: (a) CPI + 3%; or (b) 8%.</w:t>
      </w:r>
    </w:p>
    <w:p>
      <w:pPr>
        <w:spacing w:before="160" w:after="40"/>
      </w:pPr>
      <w:r>
        <w:rPr>
          <w:rFonts w:ascii="Arial" w:cs="Arial" w:eastAsia="Arial" w:hAnsi="Arial"/>
          <w:b/>
          <w:bCs/>
          <w:color w:val="1A1A1A"/>
          <w:sz w:val="20"/>
          <w:szCs w:val="20"/>
        </w:rPr>
        <w:t xml:space="preserve">3.4  </w:t>
      </w:r>
      <w:r>
        <w:rPr>
          <w:rFonts w:ascii="Arial" w:cs="Arial" w:eastAsia="Arial" w:hAnsi="Arial"/>
          <w:b/>
          <w:bCs/>
          <w:color w:val="1A1A1A"/>
          <w:sz w:val="20"/>
          <w:szCs w:val="20"/>
        </w:rPr>
        <w:t xml:space="preserve">Non-Payment</w:t>
      </w:r>
    </w:p>
    <w:p>
      <w:pPr>
        <w:spacing w:before="40" w:after="80"/>
        <w:ind w:left="360"/>
      </w:pPr>
      <w:r>
        <w:rPr>
          <w:rFonts w:ascii="Arial" w:cs="Arial" w:eastAsia="Arial" w:hAnsi="Arial"/>
          <w:color w:val="1A1A1A"/>
          <w:sz w:val="20"/>
          <w:szCs w:val="20"/>
        </w:rPr>
        <w:t xml:space="preserve">The Provider may suspend access on 10 business days' written notice if fees are overdue by more than 30 days.</w:t>
      </w:r>
    </w:p>
    <w:p>
      <w:pPr>
        <w:pBdr>
          <w:bottom w:val="single" w:color="006B6B" w:sz="3" w:space="2"/>
        </w:pBdr>
        <w:spacing w:before="280" w:after="80"/>
      </w:pPr>
      <w:r>
        <w:rPr>
          <w:rFonts w:ascii="Arial" w:cs="Arial" w:eastAsia="Arial" w:hAnsi="Arial"/>
          <w:b/>
          <w:bCs/>
          <w:color w:val="006B6B"/>
          <w:sz w:val="21"/>
          <w:szCs w:val="21"/>
        </w:rPr>
        <w:t xml:space="preserve">4.  </w:t>
      </w:r>
      <w:r>
        <w:rPr>
          <w:rFonts w:ascii="Arial" w:cs="Arial" w:eastAsia="Arial" w:hAnsi="Arial"/>
          <w:b/>
          <w:bCs/>
          <w:color w:val="006B6B"/>
          <w:sz w:val="21"/>
          <w:szCs w:val="21"/>
        </w:rPr>
        <w:t xml:space="preserve">DATA AND PRIVACY</w:t>
      </w:r>
    </w:p>
    <w:p>
      <w:pPr>
        <w:spacing w:before="160" w:after="40"/>
      </w:pPr>
      <w:r>
        <w:rPr>
          <w:rFonts w:ascii="Arial" w:cs="Arial" w:eastAsia="Arial" w:hAnsi="Arial"/>
          <w:b/>
          <w:bCs/>
          <w:color w:val="1A1A1A"/>
          <w:sz w:val="20"/>
          <w:szCs w:val="20"/>
        </w:rPr>
        <w:t xml:space="preserve">4.1  </w:t>
      </w:r>
      <w:r>
        <w:rPr>
          <w:rFonts w:ascii="Arial" w:cs="Arial" w:eastAsia="Arial" w:hAnsi="Arial"/>
          <w:b/>
          <w:bCs/>
          <w:color w:val="1A1A1A"/>
          <w:sz w:val="20"/>
          <w:szCs w:val="20"/>
        </w:rPr>
        <w:t xml:space="preserve">Client Data</w:t>
      </w:r>
    </w:p>
    <w:p>
      <w:pPr>
        <w:spacing w:before="40" w:after="80"/>
        <w:ind w:left="360"/>
      </w:pPr>
      <w:r>
        <w:rPr>
          <w:rFonts w:ascii="Arial" w:cs="Arial" w:eastAsia="Arial" w:hAnsi="Arial"/>
          <w:color w:val="1A1A1A"/>
          <w:sz w:val="20"/>
          <w:szCs w:val="20"/>
        </w:rPr>
        <w:t xml:space="preserve">The Client retains all rights to data entered into PalCare. The Provider processes such data solely as an operator in terms of POPIA.</w:t>
      </w:r>
    </w:p>
    <w:p>
      <w:pPr>
        <w:spacing w:before="160" w:after="40"/>
      </w:pPr>
      <w:r>
        <w:rPr>
          <w:rFonts w:ascii="Arial" w:cs="Arial" w:eastAsia="Arial" w:hAnsi="Arial"/>
          <w:b/>
          <w:bCs/>
          <w:color w:val="1A1A1A"/>
          <w:sz w:val="20"/>
          <w:szCs w:val="20"/>
        </w:rPr>
        <w:t xml:space="preserve">4.2  </w:t>
      </w:r>
      <w:r>
        <w:rPr>
          <w:rFonts w:ascii="Arial" w:cs="Arial" w:eastAsia="Arial" w:hAnsi="Arial"/>
          <w:b/>
          <w:bCs/>
          <w:color w:val="1A1A1A"/>
          <w:sz w:val="20"/>
          <w:szCs w:val="20"/>
        </w:rPr>
        <w:t xml:space="preserve">Processing Agreement</w:t>
      </w:r>
    </w:p>
    <w:p>
      <w:pPr>
        <w:spacing w:before="40" w:after="80"/>
        <w:ind w:left="360"/>
      </w:pPr>
      <w:r>
        <w:rPr>
          <w:rFonts w:ascii="Arial" w:cs="Arial" w:eastAsia="Arial" w:hAnsi="Arial"/>
          <w:color w:val="1A1A1A"/>
          <w:sz w:val="20"/>
          <w:szCs w:val="20"/>
        </w:rPr>
        <w:t xml:space="preserve">A POPIA Processing Agreement (separate document) must be executed before the Client accesses PalCare. That agreement governs the processing of personal information.</w:t>
      </w:r>
    </w:p>
    <w:p>
      <w:pPr>
        <w:spacing w:before="160" w:after="40"/>
      </w:pPr>
      <w:r>
        <w:rPr>
          <w:rFonts w:ascii="Arial" w:cs="Arial" w:eastAsia="Arial" w:hAnsi="Arial"/>
          <w:b/>
          <w:bCs/>
          <w:color w:val="1A1A1A"/>
          <w:sz w:val="20"/>
          <w:szCs w:val="20"/>
        </w:rPr>
        <w:t xml:space="preserve">4.3  </w:t>
      </w:r>
      <w:r>
        <w:rPr>
          <w:rFonts w:ascii="Arial" w:cs="Arial" w:eastAsia="Arial" w:hAnsi="Arial"/>
          <w:b/>
          <w:bCs/>
          <w:color w:val="1A1A1A"/>
          <w:sz w:val="20"/>
          <w:szCs w:val="20"/>
        </w:rPr>
        <w:t xml:space="preserve">Security</w:t>
      </w:r>
    </w:p>
    <w:p>
      <w:pPr>
        <w:spacing w:before="40" w:after="80"/>
        <w:ind w:left="360"/>
      </w:pPr>
      <w:r>
        <w:rPr>
          <w:rFonts w:ascii="Arial" w:cs="Arial" w:eastAsia="Arial" w:hAnsi="Arial"/>
          <w:color w:val="1A1A1A"/>
          <w:sz w:val="20"/>
          <w:szCs w:val="20"/>
        </w:rPr>
        <w:t xml:space="preserve">The Provider maintains ISO 27001-equivalent security controls and conducts annual penetration testing. Security reports are available to Clients on written request.</w:t>
      </w:r>
    </w:p>
    <w:p>
      <w:pPr>
        <w:spacing w:before="160" w:after="40"/>
      </w:pPr>
      <w:r>
        <w:rPr>
          <w:rFonts w:ascii="Arial" w:cs="Arial" w:eastAsia="Arial" w:hAnsi="Arial"/>
          <w:b/>
          <w:bCs/>
          <w:color w:val="1A1A1A"/>
          <w:sz w:val="20"/>
          <w:szCs w:val="20"/>
        </w:rPr>
        <w:t xml:space="preserve">4.4  </w:t>
      </w:r>
      <w:r>
        <w:rPr>
          <w:rFonts w:ascii="Arial" w:cs="Arial" w:eastAsia="Arial" w:hAnsi="Arial"/>
          <w:b/>
          <w:bCs/>
          <w:color w:val="1A1A1A"/>
          <w:sz w:val="20"/>
          <w:szCs w:val="20"/>
        </w:rPr>
        <w:t xml:space="preserve">Data Portability</w:t>
      </w:r>
    </w:p>
    <w:p>
      <w:pPr>
        <w:spacing w:before="40" w:after="80"/>
        <w:ind w:left="360"/>
      </w:pPr>
      <w:r>
        <w:rPr>
          <w:rFonts w:ascii="Arial" w:cs="Arial" w:eastAsia="Arial" w:hAnsi="Arial"/>
          <w:color w:val="1A1A1A"/>
          <w:sz w:val="20"/>
          <w:szCs w:val="20"/>
        </w:rPr>
        <w:t xml:space="preserve">On termination, the Client shall receive a full data export within 20 business days at no additional cost.</w:t>
      </w:r>
    </w:p>
    <w:p>
      <w:pPr>
        <w:pBdr>
          <w:bottom w:val="single" w:color="006B6B" w:sz="3" w:space="2"/>
        </w:pBdr>
        <w:spacing w:before="280" w:after="80"/>
      </w:pPr>
      <w:r>
        <w:rPr>
          <w:rFonts w:ascii="Arial" w:cs="Arial" w:eastAsia="Arial" w:hAnsi="Arial"/>
          <w:b/>
          <w:bCs/>
          <w:color w:val="006B6B"/>
          <w:sz w:val="21"/>
          <w:szCs w:val="21"/>
        </w:rPr>
        <w:t xml:space="preserve">5.  </w:t>
      </w:r>
      <w:r>
        <w:rPr>
          <w:rFonts w:ascii="Arial" w:cs="Arial" w:eastAsia="Arial" w:hAnsi="Arial"/>
          <w:b/>
          <w:bCs/>
          <w:color w:val="006B6B"/>
          <w:sz w:val="21"/>
          <w:szCs w:val="21"/>
        </w:rPr>
        <w:t xml:space="preserve">NHI COMPLIANCE</w:t>
      </w:r>
    </w:p>
    <w:p>
      <w:pPr>
        <w:spacing w:before="160" w:after="40"/>
      </w:pPr>
      <w:r>
        <w:rPr>
          <w:rFonts w:ascii="Arial" w:cs="Arial" w:eastAsia="Arial" w:hAnsi="Arial"/>
          <w:b/>
          <w:bCs/>
          <w:color w:val="1A1A1A"/>
          <w:sz w:val="20"/>
          <w:szCs w:val="20"/>
        </w:rPr>
        <w:t xml:space="preserve">5.1  </w:t>
      </w:r>
      <w:r>
        <w:rPr>
          <w:rFonts w:ascii="Arial" w:cs="Arial" w:eastAsia="Arial" w:hAnsi="Arial"/>
          <w:b/>
          <w:bCs/>
          <w:color w:val="1A1A1A"/>
          <w:sz w:val="20"/>
          <w:szCs w:val="20"/>
        </w:rPr>
        <w:t xml:space="preserve">Interoperability</w:t>
      </w:r>
    </w:p>
    <w:p>
      <w:pPr>
        <w:spacing w:before="40" w:after="80"/>
        <w:ind w:left="360"/>
      </w:pPr>
      <w:r>
        <w:rPr>
          <w:rFonts w:ascii="Arial" w:cs="Arial" w:eastAsia="Arial" w:hAnsi="Arial"/>
          <w:color w:val="1A1A1A"/>
          <w:sz w:val="20"/>
          <w:szCs w:val="20"/>
        </w:rPr>
        <w:t xml:space="preserve">PalCare is designed to be compliant with the interoperability requirements of the National Health Insurance Act 20 of 2019. The Provider shall notify Clients of any regulatory changes affecting platform compliance within 30 days of becoming aware.</w:t>
      </w:r>
    </w:p>
    <w:p>
      <w:pPr>
        <w:spacing w:before="160" w:after="40"/>
      </w:pPr>
      <w:r>
        <w:rPr>
          <w:rFonts w:ascii="Arial" w:cs="Arial" w:eastAsia="Arial" w:hAnsi="Arial"/>
          <w:b/>
          <w:bCs/>
          <w:color w:val="1A1A1A"/>
          <w:sz w:val="20"/>
          <w:szCs w:val="20"/>
        </w:rPr>
        <w:t xml:space="preserve">5.2  </w:t>
      </w:r>
      <w:r>
        <w:rPr>
          <w:rFonts w:ascii="Arial" w:cs="Arial" w:eastAsia="Arial" w:hAnsi="Arial"/>
          <w:b/>
          <w:bCs/>
          <w:color w:val="1A1A1A"/>
          <w:sz w:val="20"/>
          <w:szCs w:val="20"/>
        </w:rPr>
        <w:t xml:space="preserve">Audit Readiness</w:t>
      </w:r>
    </w:p>
    <w:p>
      <w:pPr>
        <w:spacing w:before="40" w:after="80"/>
        <w:ind w:left="360"/>
      </w:pPr>
      <w:r>
        <w:rPr>
          <w:rFonts w:ascii="Arial" w:cs="Arial" w:eastAsia="Arial" w:hAnsi="Arial"/>
          <w:color w:val="1A1A1A"/>
          <w:sz w:val="20"/>
          <w:szCs w:val="20"/>
        </w:rPr>
        <w:t xml:space="preserve">PalCare generates audit-ready reports designed to meet the reporting requirements of NHI Fund accredited providers. The Provider does not warrant that these reports satisfy all regulatory requirements for all Clients in all circumstances.</w:t>
      </w:r>
    </w:p>
    <w:p>
      <w:pPr>
        <w:pBdr>
          <w:bottom w:val="single" w:color="006B6B" w:sz="3" w:space="2"/>
        </w:pBdr>
        <w:spacing w:before="280" w:after="80"/>
      </w:pPr>
      <w:r>
        <w:rPr>
          <w:rFonts w:ascii="Arial" w:cs="Arial" w:eastAsia="Arial" w:hAnsi="Arial"/>
          <w:b/>
          <w:bCs/>
          <w:color w:val="006B6B"/>
          <w:sz w:val="21"/>
          <w:szCs w:val="21"/>
        </w:rPr>
        <w:t xml:space="preserve">6.  </w:t>
      </w:r>
      <w:r>
        <w:rPr>
          <w:rFonts w:ascii="Arial" w:cs="Arial" w:eastAsia="Arial" w:hAnsi="Arial"/>
          <w:b/>
          <w:bCs/>
          <w:color w:val="006B6B"/>
          <w:sz w:val="21"/>
          <w:szCs w:val="21"/>
        </w:rPr>
        <w:t xml:space="preserve">INTELLECTUAL PROPERTY</w:t>
      </w:r>
    </w:p>
    <w:p>
      <w:pPr>
        <w:spacing w:before="60" w:after="80"/>
        <w:jc w:val="left"/>
      </w:pPr>
      <w:r>
        <w:rPr>
          <w:rFonts w:ascii="Arial" w:cs="Arial" w:eastAsia="Arial" w:hAnsi="Arial"/>
          <w:b w:val="false"/>
          <w:bCs w:val="false"/>
          <w:i w:val="false"/>
          <w:iCs w:val="false"/>
          <w:color w:val="1A1A1A"/>
          <w:sz w:val="20"/>
          <w:szCs w:val="20"/>
        </w:rPr>
        <w:t xml:space="preserve">All intellectual property in PalCare and associated documentation is and remains the exclusive property of EthicHawks (Pty) Ltd. Nothing in this Agreement transfers any IP rights to the Client.</w:t>
      </w:r>
    </w:p>
    <w:p>
      <w:pPr>
        <w:pBdr>
          <w:bottom w:val="single" w:color="006B6B" w:sz="3" w:space="2"/>
        </w:pBdr>
        <w:spacing w:before="280" w:after="80"/>
      </w:pPr>
      <w:r>
        <w:rPr>
          <w:rFonts w:ascii="Arial" w:cs="Arial" w:eastAsia="Arial" w:hAnsi="Arial"/>
          <w:b/>
          <w:bCs/>
          <w:color w:val="006B6B"/>
          <w:sz w:val="21"/>
          <w:szCs w:val="21"/>
        </w:rPr>
        <w:t xml:space="preserve">7.  </w:t>
      </w:r>
      <w:r>
        <w:rPr>
          <w:rFonts w:ascii="Arial" w:cs="Arial" w:eastAsia="Arial" w:hAnsi="Arial"/>
          <w:b/>
          <w:bCs/>
          <w:color w:val="006B6B"/>
          <w:sz w:val="21"/>
          <w:szCs w:val="21"/>
        </w:rPr>
        <w:t xml:space="preserve">LIABILITY</w:t>
      </w:r>
    </w:p>
    <w:p>
      <w:pPr>
        <w:spacing w:before="160" w:after="40"/>
      </w:pPr>
      <w:r>
        <w:rPr>
          <w:rFonts w:ascii="Arial" w:cs="Arial" w:eastAsia="Arial" w:hAnsi="Arial"/>
          <w:b/>
          <w:bCs/>
          <w:color w:val="1A1A1A"/>
          <w:sz w:val="20"/>
          <w:szCs w:val="20"/>
        </w:rPr>
        <w:t xml:space="preserve">7.1  </w:t>
      </w:r>
      <w:r>
        <w:rPr>
          <w:rFonts w:ascii="Arial" w:cs="Arial" w:eastAsia="Arial" w:hAnsi="Arial"/>
          <w:b/>
          <w:bCs/>
          <w:color w:val="1A1A1A"/>
          <w:sz w:val="20"/>
          <w:szCs w:val="20"/>
        </w:rPr>
        <w:t xml:space="preserve">Clinical Disclaimer</w:t>
      </w:r>
    </w:p>
    <w:p>
      <w:pPr>
        <w:spacing w:before="40" w:after="80"/>
        <w:ind w:left="360"/>
      </w:pPr>
      <w:r>
        <w:rPr>
          <w:rFonts w:ascii="Arial" w:cs="Arial" w:eastAsia="Arial" w:hAnsi="Arial"/>
          <w:color w:val="1A1A1A"/>
          <w:sz w:val="20"/>
          <w:szCs w:val="20"/>
        </w:rPr>
        <w:t xml:space="preserve">PalCare is a documentation and governance tool. It does not provide clinical advice. The Client is solely responsible for all clinical decisions made by its staff.</w:t>
      </w:r>
    </w:p>
    <w:p>
      <w:pPr>
        <w:spacing w:before="160" w:after="40"/>
      </w:pPr>
      <w:r>
        <w:rPr>
          <w:rFonts w:ascii="Arial" w:cs="Arial" w:eastAsia="Arial" w:hAnsi="Arial"/>
          <w:b/>
          <w:bCs/>
          <w:color w:val="1A1A1A"/>
          <w:sz w:val="20"/>
          <w:szCs w:val="20"/>
        </w:rPr>
        <w:t xml:space="preserve">7.2  </w:t>
      </w:r>
      <w:r>
        <w:rPr>
          <w:rFonts w:ascii="Arial" w:cs="Arial" w:eastAsia="Arial" w:hAnsi="Arial"/>
          <w:b/>
          <w:bCs/>
          <w:color w:val="1A1A1A"/>
          <w:sz w:val="20"/>
          <w:szCs w:val="20"/>
        </w:rPr>
        <w:t xml:space="preserve">Limitation</w:t>
      </w:r>
    </w:p>
    <w:p>
      <w:pPr>
        <w:spacing w:before="40" w:after="80"/>
        <w:ind w:left="360"/>
      </w:pPr>
      <w:r>
        <w:rPr>
          <w:rFonts w:ascii="Arial" w:cs="Arial" w:eastAsia="Arial" w:hAnsi="Arial"/>
          <w:color w:val="1A1A1A"/>
          <w:sz w:val="20"/>
          <w:szCs w:val="20"/>
        </w:rPr>
        <w:t xml:space="preserve">The Provider's aggregate liability under this Agreement shall not exceed the fees paid by the Client in the 3 months preceding the event giving rise to the claim. The Provider shall not be liable for indirect, consequential, or special damages.</w:t>
      </w:r>
    </w:p>
    <w:p>
      <w:pPr>
        <w:pBdr>
          <w:bottom w:val="single" w:color="006B6B" w:sz="3" w:space="2"/>
        </w:pBdr>
        <w:spacing w:before="280" w:after="80"/>
      </w:pPr>
      <w:r>
        <w:rPr>
          <w:rFonts w:ascii="Arial" w:cs="Arial" w:eastAsia="Arial" w:hAnsi="Arial"/>
          <w:b/>
          <w:bCs/>
          <w:color w:val="006B6B"/>
          <w:sz w:val="21"/>
          <w:szCs w:val="21"/>
        </w:rPr>
        <w:t xml:space="preserve">8.  </w:t>
      </w:r>
      <w:r>
        <w:rPr>
          <w:rFonts w:ascii="Arial" w:cs="Arial" w:eastAsia="Arial" w:hAnsi="Arial"/>
          <w:b/>
          <w:bCs/>
          <w:color w:val="006B6B"/>
          <w:sz w:val="21"/>
          <w:szCs w:val="21"/>
        </w:rPr>
        <w:t xml:space="preserve">TERM AND TERMINATION</w:t>
      </w:r>
    </w:p>
    <w:p>
      <w:pPr>
        <w:spacing w:before="160" w:after="40"/>
      </w:pPr>
      <w:r>
        <w:rPr>
          <w:rFonts w:ascii="Arial" w:cs="Arial" w:eastAsia="Arial" w:hAnsi="Arial"/>
          <w:b/>
          <w:bCs/>
          <w:color w:val="1A1A1A"/>
          <w:sz w:val="20"/>
          <w:szCs w:val="20"/>
        </w:rPr>
        <w:t xml:space="preserve">8.1  </w:t>
      </w:r>
      <w:r>
        <w:rPr>
          <w:rFonts w:ascii="Arial" w:cs="Arial" w:eastAsia="Arial" w:hAnsi="Arial"/>
          <w:b/>
          <w:bCs/>
          <w:color w:val="1A1A1A"/>
          <w:sz w:val="20"/>
          <w:szCs w:val="20"/>
        </w:rPr>
        <w:t xml:space="preserve">Initial Term</w:t>
      </w:r>
    </w:p>
    <w:p>
      <w:pPr>
        <w:spacing w:before="40" w:after="80"/>
        <w:ind w:left="360"/>
      </w:pPr>
      <w:r>
        <w:rPr>
          <w:rFonts w:ascii="Arial" w:cs="Arial" w:eastAsia="Arial" w:hAnsi="Arial"/>
          <w:color w:val="1A1A1A"/>
          <w:sz w:val="20"/>
          <w:szCs w:val="20"/>
        </w:rPr>
        <w:t xml:space="preserve">This Agreement commences on the Subscription Start Date and continues for the Initial Term specified in the Order Form (minimum 12 months).</w:t>
      </w:r>
    </w:p>
    <w:p>
      <w:pPr>
        <w:spacing w:before="160" w:after="40"/>
      </w:pPr>
      <w:r>
        <w:rPr>
          <w:rFonts w:ascii="Arial" w:cs="Arial" w:eastAsia="Arial" w:hAnsi="Arial"/>
          <w:b/>
          <w:bCs/>
          <w:color w:val="1A1A1A"/>
          <w:sz w:val="20"/>
          <w:szCs w:val="20"/>
        </w:rPr>
        <w:t xml:space="preserve">8.2  </w:t>
      </w:r>
      <w:r>
        <w:rPr>
          <w:rFonts w:ascii="Arial" w:cs="Arial" w:eastAsia="Arial" w:hAnsi="Arial"/>
          <w:b/>
          <w:bCs/>
          <w:color w:val="1A1A1A"/>
          <w:sz w:val="20"/>
          <w:szCs w:val="20"/>
        </w:rPr>
        <w:t xml:space="preserve">Renewal</w:t>
      </w:r>
    </w:p>
    <w:p>
      <w:pPr>
        <w:spacing w:before="40" w:after="80"/>
        <w:ind w:left="360"/>
      </w:pPr>
      <w:r>
        <w:rPr>
          <w:rFonts w:ascii="Arial" w:cs="Arial" w:eastAsia="Arial" w:hAnsi="Arial"/>
          <w:color w:val="1A1A1A"/>
          <w:sz w:val="20"/>
          <w:szCs w:val="20"/>
        </w:rPr>
        <w:t xml:space="preserve">Unless terminated on 60 days' written notice prior to expiry, this Agreement renews automatically for successive 12-month periods.</w:t>
      </w:r>
    </w:p>
    <w:p>
      <w:pPr>
        <w:spacing w:before="160" w:after="40"/>
      </w:pPr>
      <w:r>
        <w:rPr>
          <w:rFonts w:ascii="Arial" w:cs="Arial" w:eastAsia="Arial" w:hAnsi="Arial"/>
          <w:b/>
          <w:bCs/>
          <w:color w:val="1A1A1A"/>
          <w:sz w:val="20"/>
          <w:szCs w:val="20"/>
        </w:rPr>
        <w:t xml:space="preserve">8.3  </w:t>
      </w:r>
      <w:r>
        <w:rPr>
          <w:rFonts w:ascii="Arial" w:cs="Arial" w:eastAsia="Arial" w:hAnsi="Arial"/>
          <w:b/>
          <w:bCs/>
          <w:color w:val="1A1A1A"/>
          <w:sz w:val="20"/>
          <w:szCs w:val="20"/>
        </w:rPr>
        <w:t xml:space="preserve">Termination for Cause</w:t>
      </w:r>
    </w:p>
    <w:p>
      <w:pPr>
        <w:spacing w:before="40" w:after="80"/>
        <w:ind w:left="360"/>
      </w:pPr>
      <w:r>
        <w:rPr>
          <w:rFonts w:ascii="Arial" w:cs="Arial" w:eastAsia="Arial" w:hAnsi="Arial"/>
          <w:color w:val="1A1A1A"/>
          <w:sz w:val="20"/>
          <w:szCs w:val="20"/>
        </w:rPr>
        <w:t xml:space="preserve">Either Party may terminate on 20 business days' written notice for material breach not remedied within 10 business days of notice.</w:t>
      </w:r>
    </w:p>
    <w:p>
      <w:pPr>
        <w:pBdr>
          <w:bottom w:val="single" w:color="006B6B" w:sz="3" w:space="2"/>
        </w:pBdr>
        <w:spacing w:before="280" w:after="80"/>
      </w:pPr>
      <w:r>
        <w:rPr>
          <w:rFonts w:ascii="Arial" w:cs="Arial" w:eastAsia="Arial" w:hAnsi="Arial"/>
          <w:b/>
          <w:bCs/>
          <w:color w:val="006B6B"/>
          <w:sz w:val="21"/>
          <w:szCs w:val="21"/>
        </w:rPr>
        <w:t xml:space="preserve">9.  </w:t>
      </w:r>
      <w:r>
        <w:rPr>
          <w:rFonts w:ascii="Arial" w:cs="Arial" w:eastAsia="Arial" w:hAnsi="Arial"/>
          <w:b/>
          <w:bCs/>
          <w:color w:val="006B6B"/>
          <w:sz w:val="21"/>
          <w:szCs w:val="21"/>
        </w:rPr>
        <w:t xml:space="preserve">GENERAL</w:t>
      </w:r>
    </w:p>
    <w:p>
      <w:pPr>
        <w:spacing w:before="160" w:after="40"/>
      </w:pPr>
      <w:r>
        <w:rPr>
          <w:rFonts w:ascii="Arial" w:cs="Arial" w:eastAsia="Arial" w:hAnsi="Arial"/>
          <w:b/>
          <w:bCs/>
          <w:color w:val="1A1A1A"/>
          <w:sz w:val="20"/>
          <w:szCs w:val="20"/>
        </w:rPr>
        <w:t xml:space="preserve">9.1  </w:t>
      </w:r>
      <w:r>
        <w:rPr>
          <w:rFonts w:ascii="Arial" w:cs="Arial" w:eastAsia="Arial" w:hAnsi="Arial"/>
          <w:b/>
          <w:bCs/>
          <w:color w:val="1A1A1A"/>
          <w:sz w:val="20"/>
          <w:szCs w:val="20"/>
        </w:rPr>
        <w:t xml:space="preserve">Governing Law</w:t>
      </w:r>
    </w:p>
    <w:p>
      <w:pPr>
        <w:spacing w:before="40" w:after="80"/>
        <w:ind w:left="360"/>
      </w:pPr>
      <w:r>
        <w:rPr>
          <w:rFonts w:ascii="Arial" w:cs="Arial" w:eastAsia="Arial" w:hAnsi="Arial"/>
          <w:color w:val="1A1A1A"/>
          <w:sz w:val="20"/>
          <w:szCs w:val="20"/>
        </w:rPr>
        <w:t xml:space="preserve">This Agreement is governed by the laws of the Republic of South Africa.</w:t>
      </w:r>
    </w:p>
    <w:p>
      <w:pPr>
        <w:spacing w:before="160" w:after="40"/>
      </w:pPr>
      <w:r>
        <w:rPr>
          <w:rFonts w:ascii="Arial" w:cs="Arial" w:eastAsia="Arial" w:hAnsi="Arial"/>
          <w:b/>
          <w:bCs/>
          <w:color w:val="1A1A1A"/>
          <w:sz w:val="20"/>
          <w:szCs w:val="20"/>
        </w:rPr>
        <w:t xml:space="preserve">9.2  </w:t>
      </w:r>
      <w:r>
        <w:rPr>
          <w:rFonts w:ascii="Arial" w:cs="Arial" w:eastAsia="Arial" w:hAnsi="Arial"/>
          <w:b/>
          <w:bCs/>
          <w:color w:val="1A1A1A"/>
          <w:sz w:val="20"/>
          <w:szCs w:val="20"/>
        </w:rPr>
        <w:t xml:space="preserve">Disputes</w:t>
      </w:r>
    </w:p>
    <w:p>
      <w:pPr>
        <w:spacing w:before="40" w:after="80"/>
        <w:ind w:left="360"/>
      </w:pPr>
      <w:r>
        <w:rPr>
          <w:rFonts w:ascii="Arial" w:cs="Arial" w:eastAsia="Arial" w:hAnsi="Arial"/>
          <w:color w:val="1A1A1A"/>
          <w:sz w:val="20"/>
          <w:szCs w:val="20"/>
        </w:rPr>
        <w:t xml:space="preserve">Disputes shall be resolved by negotiation, then mediation, then AFSA arbitration in Cape Town.</w:t>
      </w:r>
    </w:p>
    <w:p>
      <w:pPr>
        <w:spacing w:before="160" w:after="40"/>
      </w:pPr>
      <w:r>
        <w:rPr>
          <w:rFonts w:ascii="Arial" w:cs="Arial" w:eastAsia="Arial" w:hAnsi="Arial"/>
          <w:b/>
          <w:bCs/>
          <w:color w:val="1A1A1A"/>
          <w:sz w:val="20"/>
          <w:szCs w:val="20"/>
        </w:rPr>
        <w:t xml:space="preserve">9.3  </w:t>
      </w:r>
      <w:r>
        <w:rPr>
          <w:rFonts w:ascii="Arial" w:cs="Arial" w:eastAsia="Arial" w:hAnsi="Arial"/>
          <w:b/>
          <w:bCs/>
          <w:color w:val="1A1A1A"/>
          <w:sz w:val="20"/>
          <w:szCs w:val="20"/>
        </w:rPr>
        <w:t xml:space="preserve">Entire Agreement</w:t>
      </w:r>
    </w:p>
    <w:p>
      <w:pPr>
        <w:spacing w:before="40" w:after="80"/>
        <w:ind w:left="360"/>
      </w:pPr>
      <w:r>
        <w:rPr>
          <w:rFonts w:ascii="Arial" w:cs="Arial" w:eastAsia="Arial" w:hAnsi="Arial"/>
          <w:color w:val="1A1A1A"/>
          <w:sz w:val="20"/>
          <w:szCs w:val="20"/>
        </w:rPr>
        <w:t xml:space="preserve">This Agreement and the applicable Order Form and POPIA Processing Agreement constitute the entire agreement between the Parties regarding access to PalCare.</w:t>
      </w:r>
    </w:p>
    <w:p>
      <w:pPr>
        <w:spacing w:before="80" w:after="80"/>
      </w:pPr>
      <w:r>
        <w:t xml:space="preserve"/>
      </w:r>
    </w:p>
    <w:p>
      <w:pPr>
        <w:spacing w:before="80" w:after="80"/>
      </w:pPr>
      <w:r>
        <w:t xml:space="preserve"/>
      </w:r>
    </w:p>
    <w:p>
      <w:pPr>
        <w:spacing w:before="160" w:after="80"/>
        <w:jc w:val="left"/>
      </w:pPr>
      <w:r>
        <w:rPr>
          <w:rFonts w:ascii="Arial" w:cs="Arial" w:eastAsia="Arial" w:hAnsi="Arial"/>
          <w:b/>
          <w:bCs/>
          <w:i w:val="false"/>
          <w:iCs w:val="false"/>
          <w:color w:val="006B6B"/>
          <w:sz w:val="22"/>
          <w:szCs w:val="22"/>
        </w:rPr>
        <w:t xml:space="preserve">SIGNATURES</w:t>
      </w:r>
    </w:p>
    <w:p>
      <w:pPr>
        <w:spacing w:before="0" w:after="60"/>
        <w:jc w:val="left"/>
      </w:pPr>
      <w:r>
        <w:rPr>
          <w:rFonts w:ascii="Arial" w:cs="Arial" w:eastAsia="Arial" w:hAnsi="Arial"/>
          <w:b/>
          <w:bCs/>
          <w:i w:val="false"/>
          <w:iCs w:val="false"/>
          <w:color w:val="006B6B"/>
          <w:sz w:val="19"/>
          <w:szCs w:val="19"/>
        </w:rPr>
        <w:t xml:space="preserve">PROVIDER — ETHICHAWKS (PTY) LTD</w:t>
      </w:r>
    </w:p>
    <w:p>
      <w:pPr>
        <w:spacing w:before="60" w:after="40"/>
        <w:jc w:val="left"/>
      </w:pPr>
      <w:r>
        <w:rPr>
          <w:rFonts w:ascii="Arial" w:cs="Arial" w:eastAsia="Arial" w:hAnsi="Arial"/>
          <w:b w:val="false"/>
          <w:bCs w:val="false"/>
          <w:i w:val="false"/>
          <w:iCs w:val="false"/>
          <w:color w:val="1A1A1A"/>
          <w:sz w:val="19"/>
          <w:szCs w:val="19"/>
        </w:rPr>
        <w:t xml:space="preserve">Signature: _________________________________</w:t>
      </w:r>
    </w:p>
    <w:p>
      <w:pPr>
        <w:spacing w:before="60" w:after="40"/>
        <w:jc w:val="left"/>
      </w:pPr>
      <w:r>
        <w:rPr>
          <w:rFonts w:ascii="Arial" w:cs="Arial" w:eastAsia="Arial" w:hAnsi="Arial"/>
          <w:b w:val="false"/>
          <w:bCs w:val="false"/>
          <w:i w:val="false"/>
          <w:iCs w:val="false"/>
          <w:color w:val="1A1A1A"/>
          <w:sz w:val="19"/>
          <w:szCs w:val="19"/>
        </w:rPr>
        <w:t xml:space="preserve">Full name: __________________________________</w:t>
      </w:r>
    </w:p>
    <w:p>
      <w:pPr>
        <w:spacing w:before="60" w:after="40"/>
        <w:jc w:val="left"/>
      </w:pPr>
      <w:r>
        <w:rPr>
          <w:rFonts w:ascii="Arial" w:cs="Arial" w:eastAsia="Arial" w:hAnsi="Arial"/>
          <w:b w:val="false"/>
          <w:bCs w:val="false"/>
          <w:i w:val="false"/>
          <w:iCs w:val="false"/>
          <w:color w:val="1A1A1A"/>
          <w:sz w:val="19"/>
          <w:szCs w:val="19"/>
        </w:rPr>
        <w:t xml:space="preserve">Date: _______________________________________</w:t>
      </w:r>
    </w:p>
    <w:p>
      <w:pPr>
        <w:spacing w:before="60" w:after="40"/>
        <w:jc w:val="left"/>
      </w:pPr>
      <w:r>
        <w:rPr>
          <w:rFonts w:ascii="Arial" w:cs="Arial" w:eastAsia="Arial" w:hAnsi="Arial"/>
          <w:b w:val="false"/>
          <w:bCs w:val="false"/>
          <w:i w:val="false"/>
          <w:iCs w:val="false"/>
          <w:color w:val="1A1A1A"/>
          <w:sz w:val="19"/>
          <w:szCs w:val="19"/>
        </w:rPr>
        <w:t xml:space="preserve">Witness signature: __________________________</w:t>
      </w:r>
    </w:p>
    <w:p>
      <w:pPr>
        <w:spacing w:before="60" w:after="40"/>
        <w:jc w:val="left"/>
      </w:pPr>
      <w:r>
        <w:rPr>
          <w:rFonts w:ascii="Arial" w:cs="Arial" w:eastAsia="Arial" w:hAnsi="Arial"/>
          <w:b w:val="false"/>
          <w:bCs w:val="false"/>
          <w:i w:val="false"/>
          <w:iCs w:val="false"/>
          <w:color w:val="1A1A1A"/>
          <w:sz w:val="19"/>
          <w:szCs w:val="19"/>
        </w:rPr>
        <w:t xml:space="preserve">Witness name: _______________________________</w:t>
      </w:r>
    </w:p>
    <w:p>
      <w:pPr>
        <w:spacing w:before="80" w:after="80"/>
      </w:pPr>
      <w:r>
        <w:t xml:space="preserve"/>
      </w:r>
    </w:p>
    <w:p>
      <w:pPr>
        <w:spacing w:before="80" w:after="80"/>
      </w:pPr>
      <w:r>
        <w:t xml:space="preserve"/>
      </w:r>
    </w:p>
    <w:p>
      <w:pPr>
        <w:spacing w:before="0" w:after="60"/>
        <w:jc w:val="left"/>
      </w:pPr>
      <w:r>
        <w:rPr>
          <w:rFonts w:ascii="Arial" w:cs="Arial" w:eastAsia="Arial" w:hAnsi="Arial"/>
          <w:b/>
          <w:bCs/>
          <w:i w:val="false"/>
          <w:iCs w:val="false"/>
          <w:color w:val="006B6B"/>
          <w:sz w:val="19"/>
          <w:szCs w:val="19"/>
        </w:rPr>
        <w:t xml:space="preserve">CLIENT — [FACILITY NAME]</w:t>
      </w:r>
    </w:p>
    <w:p>
      <w:pPr>
        <w:spacing w:before="60" w:after="40"/>
        <w:jc w:val="left"/>
      </w:pPr>
      <w:r>
        <w:rPr>
          <w:rFonts w:ascii="Arial" w:cs="Arial" w:eastAsia="Arial" w:hAnsi="Arial"/>
          <w:b w:val="false"/>
          <w:bCs w:val="false"/>
          <w:i w:val="false"/>
          <w:iCs w:val="false"/>
          <w:color w:val="1A1A1A"/>
          <w:sz w:val="19"/>
          <w:szCs w:val="19"/>
        </w:rPr>
        <w:t xml:space="preserve">Signature: _________________________________</w:t>
      </w:r>
    </w:p>
    <w:p>
      <w:pPr>
        <w:spacing w:before="60" w:after="40"/>
        <w:jc w:val="left"/>
      </w:pPr>
      <w:r>
        <w:rPr>
          <w:rFonts w:ascii="Arial" w:cs="Arial" w:eastAsia="Arial" w:hAnsi="Arial"/>
          <w:b w:val="false"/>
          <w:bCs w:val="false"/>
          <w:i w:val="false"/>
          <w:iCs w:val="false"/>
          <w:color w:val="1A1A1A"/>
          <w:sz w:val="19"/>
          <w:szCs w:val="19"/>
        </w:rPr>
        <w:t xml:space="preserve">Full name: __________________________________</w:t>
      </w:r>
    </w:p>
    <w:p>
      <w:pPr>
        <w:spacing w:before="60" w:after="40"/>
        <w:jc w:val="left"/>
      </w:pPr>
      <w:r>
        <w:rPr>
          <w:rFonts w:ascii="Arial" w:cs="Arial" w:eastAsia="Arial" w:hAnsi="Arial"/>
          <w:b w:val="false"/>
          <w:bCs w:val="false"/>
          <w:i w:val="false"/>
          <w:iCs w:val="false"/>
          <w:color w:val="1A1A1A"/>
          <w:sz w:val="19"/>
          <w:szCs w:val="19"/>
        </w:rPr>
        <w:t xml:space="preserve">Date: _______________________________________</w:t>
      </w:r>
    </w:p>
    <w:p>
      <w:pPr>
        <w:spacing w:before="60" w:after="40"/>
        <w:jc w:val="left"/>
      </w:pPr>
      <w:r>
        <w:rPr>
          <w:rFonts w:ascii="Arial" w:cs="Arial" w:eastAsia="Arial" w:hAnsi="Arial"/>
          <w:b w:val="false"/>
          <w:bCs w:val="false"/>
          <w:i w:val="false"/>
          <w:iCs w:val="false"/>
          <w:color w:val="1A1A1A"/>
          <w:sz w:val="19"/>
          <w:szCs w:val="19"/>
        </w:rPr>
        <w:t xml:space="preserve">Witness signature: __________________________</w:t>
      </w:r>
    </w:p>
    <w:p>
      <w:pPr>
        <w:spacing w:before="60" w:after="40"/>
        <w:jc w:val="left"/>
      </w:pPr>
      <w:r>
        <w:rPr>
          <w:rFonts w:ascii="Arial" w:cs="Arial" w:eastAsia="Arial" w:hAnsi="Arial"/>
          <w:b w:val="false"/>
          <w:bCs w:val="false"/>
          <w:i w:val="false"/>
          <w:iCs w:val="false"/>
          <w:color w:val="1A1A1A"/>
          <w:sz w:val="19"/>
          <w:szCs w:val="19"/>
        </w:rPr>
        <w:t xml:space="preserve">Witness name: _______________________________</w:t>
      </w:r>
    </w:p>
    <w:sectPr>
      <w:headerReference w:type="default" r:id="rId6"/>
      <w:footerReference w:type="default" r:id="rId7"/>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B6B" w:sz="4" w:space="2"/>
      </w:pBdr>
      <w:jc w:val="center"/>
    </w:pPr>
    <w:r>
      <w:rPr>
        <w:rFonts w:ascii="Arial" w:cs="Arial" w:eastAsia="Arial" w:hAnsi="Arial"/>
        <w:color w:val="999999"/>
        <w:sz w:val="16"/>
        <w:szCs w:val="16"/>
      </w:rPr>
      <w:t xml:space="preserve">EthicHawks (Pty) Ltd  |  Cape Town  |  info@ethichawks.co.za     </w:t>
    </w:r>
    <w:r>
      <w:rPr>
        <w:rFonts w:ascii="Arial" w:cs="Arial" w:eastAsia="Arial" w:hAnsi="Arial"/>
        <w:color w:val="999999"/>
        <w:sz w:val="16"/>
        <w:szCs w:val="16"/>
      </w:rPr>
      <w:t xml:space="preserve">Page </w:t>
    </w:r>
    <w:r>
      <w:rPr>
        <w:rFonts w:ascii="Arial" w:cs="Arial" w:eastAsia="Arial" w:hAnsi="Arial"/>
        <w:color w:val="00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B6B" w:sz="6" w:space="1"/>
      </w:pBdr>
      <w:spacing w:after="0"/>
    </w:pPr>
    <w:r>
      <w:rPr>
        <w:rFonts w:ascii="Arial" w:cs="Arial" w:eastAsia="Arial" w:hAnsi="Arial"/>
        <w:b/>
        <w:bCs/>
        <w:color w:val="006B6B"/>
        <w:sz w:val="16"/>
        <w:szCs w:val="16"/>
      </w:rPr>
      <w:t xml:space="preserve">PALCARE  |  ETHICHAWKS (PTY) LTD</w:t>
    </w:r>
    <w:r>
      <w:rPr>
        <w:rFonts w:ascii="Arial" w:cs="Arial" w:eastAsia="Arial" w:hAnsi="Arial"/>
        <w:color w:val="999999"/>
        <w:sz w:val="16"/>
        <w:szCs w:val="16"/>
      </w:rPr>
      <w:t xml:space="preserve">     SOFTWARE LICENCE AND SERVICE AGREEMENT     </w:t>
    </w:r>
    <w:r>
      <w:rPr>
        <w:rFonts w:ascii="Arial" w:cs="Arial" w:eastAsia="Arial" w:hAnsi="Arial"/>
        <w:b/>
        <w:bCs/>
        <w:color w:val="006B6B"/>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2026-03-30T09:30:53.405Z</dcterms:created>
  <dcterms:modified xsi:type="dcterms:W3CDTF">2026-03-30T09:30:53.405Z</dcterms:modified>
</cp:coreProperties>
</file>

<file path=docProps/custom.xml><?xml version="1.0" encoding="utf-8"?>
<Properties xmlns="http://schemas.openxmlformats.org/officeDocument/2006/custom-properties" xmlns:vt="http://schemas.openxmlformats.org/officeDocument/2006/docPropsVTypes"/>
</file>