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sz w:val="22"/>
          <w:szCs w:val="22"/>
        </w:rPr>
        <w:t xml:space="preserve">IN THE HIGH COURT OF SOUTH AFRICA</w:t>
      </w:r>
    </w:p>
    <w:p>
      <w:pPr>
        <w:spacing w:before="0" w:after="40"/>
        <w:jc w:val="center"/>
      </w:pPr>
      <w:r>
        <w:rPr>
          <w:rFonts w:ascii="Arial" w:cs="Arial" w:eastAsia="Arial" w:hAnsi="Arial"/>
          <w:b/>
          <w:bCs/>
          <w:sz w:val="22"/>
          <w:szCs w:val="22"/>
        </w:rPr>
        <w:t xml:space="preserve">WESTERN CAPE DIVISION, CAPE TOWN</w:t>
      </w:r>
    </w:p>
    <w:p>
      <w:pPr>
        <w:spacing w:before="160" w:after="160"/>
      </w:pPr>
      <w:r>
        <w:t xml:space="preserve"/>
      </w:r>
    </w:p>
    <w:p>
      <w:pPr>
        <w:spacing w:before="0" w:after="80"/>
        <w:jc w:val="center"/>
      </w:pPr>
      <w:r>
        <w:rPr>
          <w:rFonts w:ascii="Arial" w:cs="Arial" w:eastAsia="Arial" w:hAnsi="Arial"/>
          <w:sz w:val="22"/>
          <w:szCs w:val="22"/>
        </w:rPr>
        <w:t xml:space="preserve">Case No: HCGS950121</w:t>
      </w:r>
    </w:p>
    <w:p>
      <w:pPr>
        <w:pBdr>
          <w:bottom w:val="single" w:color="1A3C5E" w:sz="6" w:space="1"/>
        </w:pBdr>
        <w:spacing w:before="80" w:after="80"/>
      </w:pPr>
      <w:r>
        <w:t xml:space="preserve"/>
      </w:r>
    </w:p>
    <w:p>
      <w:pPr>
        <w:spacing w:before="120" w:after="120"/>
      </w:pPr>
      <w:r>
        <w:t xml:space="preserve"/>
      </w:r>
    </w:p>
    <w:p>
      <w:pPr>
        <w:spacing w:before="60" w:after="120"/>
      </w:pPr>
      <w:r>
        <w:rPr>
          <w:rFonts w:ascii="Arial" w:cs="Arial" w:eastAsia="Arial" w:hAnsi="Arial"/>
          <w:i/>
          <w:iCs/>
          <w:sz w:val="22"/>
          <w:szCs w:val="22"/>
        </w:rPr>
        <w:t xml:space="preserve">In the matter between:</w:t>
      </w:r>
    </w:p>
    <w:p>
      <w:pPr>
        <w:spacing w:before="60" w:after="60"/>
      </w:pPr>
      <w:r>
        <w:rPr>
          <w:rFonts w:ascii="Arial" w:cs="Arial" w:eastAsia="Arial" w:hAnsi="Arial"/>
          <w:b/>
          <w:bCs/>
          <w:sz w:val="22"/>
          <w:szCs w:val="22"/>
        </w:rPr>
        <w:t xml:space="preserve">WILBUR WILLIAM MATTHEE</w:t>
      </w:r>
      <w:r>
        <w:rPr>
          <w:rFonts w:ascii="Arial" w:cs="Arial" w:eastAsia="Arial" w:hAnsi="Arial"/>
          <w:sz w:val="22"/>
          <w:szCs w:val="22"/>
        </w:rPr>
        <w:t xml:space="preserve">					Applicant / Appellant</w:t>
      </w:r>
    </w:p>
    <w:p>
      <w:pPr>
        <w:spacing w:before="60" w:after="60"/>
        <w:ind w:left="720"/>
      </w:pPr>
      <w:r>
        <w:rPr>
          <w:rFonts w:ascii="Arial" w:cs="Arial" w:eastAsia="Arial" w:hAnsi="Arial"/>
          <w:i/>
          <w:iCs/>
          <w:sz w:val="22"/>
          <w:szCs w:val="22"/>
        </w:rPr>
        <w:t xml:space="preserve">and</w:t>
      </w:r>
    </w:p>
    <w:p>
      <w:pPr>
        <w:spacing w:before="60" w:after="60"/>
      </w:pPr>
      <w:r>
        <w:rPr>
          <w:rFonts w:ascii="Arial" w:cs="Arial" w:eastAsia="Arial" w:hAnsi="Arial"/>
          <w:b/>
          <w:bCs/>
          <w:sz w:val="22"/>
          <w:szCs w:val="22"/>
        </w:rPr>
        <w:t xml:space="preserve">BRUNO FERNANDES AND OTHERS</w:t>
      </w:r>
      <w:r>
        <w:rPr>
          <w:rFonts w:ascii="Arial" w:cs="Arial" w:eastAsia="Arial" w:hAnsi="Arial"/>
          <w:sz w:val="22"/>
          <w:szCs w:val="22"/>
        </w:rPr>
        <w:t xml:space="preserve">			1st to 5th Respondents</w:t>
      </w:r>
    </w:p>
    <w:p>
      <w:pPr>
        <w:spacing w:before="60" w:after="80"/>
      </w:pPr>
      <w:r>
        <w:rPr>
          <w:rFonts w:ascii="Arial" w:cs="Arial" w:eastAsia="Arial" w:hAnsi="Arial"/>
          <w:b/>
          <w:bCs/>
          <w:sz w:val="22"/>
          <w:szCs w:val="22"/>
        </w:rPr>
        <w:t xml:space="preserve">AFROCENTRIC INVESTMENT CORPORATION LIMITED</w:t>
      </w:r>
      <w:r>
        <w:rPr>
          <w:rFonts w:ascii="Arial" w:cs="Arial" w:eastAsia="Arial" w:hAnsi="Arial"/>
          <w:sz w:val="22"/>
          <w:szCs w:val="22"/>
        </w:rPr>
        <w:t xml:space="preserve">	6th Respondent</w:t>
      </w:r>
    </w:p>
    <w:p>
      <w:pPr>
        <w:pBdr>
          <w:bottom w:val="single" w:color="1A3C5E" w:sz="6" w:space="1"/>
        </w:pBdr>
        <w:spacing w:before="80" w:after="80"/>
      </w:pPr>
      <w:r>
        <w:t xml:space="preserve"/>
      </w:r>
    </w:p>
    <w:p>
      <w:pPr>
        <w:spacing w:before="160" w:after="160"/>
      </w:pPr>
      <w:r>
        <w:t xml:space="preserve"/>
      </w:r>
    </w:p>
    <w:p>
      <w:pPr>
        <w:spacing w:before="120" w:after="60"/>
        <w:jc w:val="center"/>
      </w:pPr>
      <w:r>
        <w:rPr>
          <w:rFonts w:ascii="Arial" w:cs="Arial" w:eastAsia="Arial" w:hAnsi="Arial"/>
          <w:b/>
          <w:bCs/>
          <w:color w:val="1A3C5E"/>
          <w:sz w:val="28"/>
          <w:szCs w:val="28"/>
        </w:rPr>
        <w:t xml:space="preserve">NOTICE OF APPLICATION FOR LEAVE TO APPEAL</w:t>
      </w:r>
    </w:p>
    <w:p>
      <w:pPr>
        <w:spacing w:before="0" w:after="120"/>
        <w:jc w:val="center"/>
      </w:pPr>
      <w:r>
        <w:rPr>
          <w:rFonts w:ascii="Arial" w:cs="Arial" w:eastAsia="Arial" w:hAnsi="Arial"/>
          <w:i/>
          <w:iCs/>
          <w:sz w:val="22"/>
          <w:szCs w:val="22"/>
        </w:rPr>
        <w:t xml:space="preserve">(In respect of the Scale C Costs Order made on 25 March 2026)</w:t>
      </w:r>
    </w:p>
    <w:p>
      <w:pPr>
        <w:pBdr>
          <w:bottom w:val="single" w:color="1A3C5E" w:sz="6" w:space="1"/>
        </w:pBdr>
        <w:spacing w:before="80" w:after="80"/>
      </w:pPr>
      <w:r>
        <w:t xml:space="preserve"/>
      </w:r>
    </w:p>
    <w:p>
      <w:pPr>
        <w:spacing w:before="160" w:after="160"/>
      </w:pPr>
      <w:r>
        <w:t xml:space="preserve"/>
      </w:r>
    </w:p>
    <w:p>
      <w:pPr>
        <w:spacing w:before="280" w:after="120"/>
      </w:pPr>
      <w:r>
        <w:rPr>
          <w:rFonts w:ascii="Arial" w:cs="Arial" w:eastAsia="Arial" w:hAnsi="Arial"/>
          <w:b/>
          <w:bCs/>
          <w:color w:val="1A3C5E"/>
          <w:sz w:val="28"/>
          <w:szCs w:val="28"/>
        </w:rPr>
        <w:t xml:space="preserve">1. NOTICE TO THE RESPONDENTS</w:t>
      </w:r>
    </w:p>
    <w:p>
      <w:pPr>
        <w:spacing w:before="60" w:after="60"/>
        <w:jc w:val="both"/>
      </w:pPr>
      <w:r>
        <w:rPr>
          <w:rFonts w:ascii="Arial" w:cs="Arial" w:eastAsia="Arial" w:hAnsi="Arial"/>
          <w:b w:val="false"/>
          <w:bCs w:val="false"/>
          <w:i w:val="false"/>
          <w:iCs w:val="false"/>
          <w:sz w:val="22"/>
          <w:szCs w:val="22"/>
        </w:rPr>
        <w:t xml:space="preserve">TAKE NOTICE that the Applicant, Wilbur William Matthee, appearing pro se, hereby applies to this Honourable Court for leave to appeal against the order made on 25 March 2026 striking the matter from the urgent roll and imposing a Scale C costs order against the Applicant.</w:t>
      </w:r>
    </w:p>
    <w:p>
      <w:pPr>
        <w:spacing w:before="120" w:after="120"/>
      </w:pPr>
      <w:r>
        <w:t xml:space="preserve"/>
      </w:r>
    </w:p>
    <w:p>
      <w:pPr>
        <w:spacing w:before="280" w:after="120"/>
      </w:pPr>
      <w:r>
        <w:rPr>
          <w:rFonts w:ascii="Arial" w:cs="Arial" w:eastAsia="Arial" w:hAnsi="Arial"/>
          <w:b/>
          <w:bCs/>
          <w:color w:val="1A3C5E"/>
          <w:sz w:val="28"/>
          <w:szCs w:val="28"/>
        </w:rPr>
        <w:t xml:space="preserve">2. THE ORDER APPEALED AGAINST</w:t>
      </w:r>
    </w:p>
    <w:p>
      <w:pPr>
        <w:spacing w:before="60" w:after="60"/>
        <w:jc w:val="both"/>
      </w:pPr>
      <w:r>
        <w:rPr>
          <w:rFonts w:ascii="Arial" w:cs="Arial" w:eastAsia="Arial" w:hAnsi="Arial"/>
          <w:b w:val="false"/>
          <w:bCs w:val="false"/>
          <w:i w:val="false"/>
          <w:iCs w:val="false"/>
          <w:sz w:val="22"/>
          <w:szCs w:val="22"/>
        </w:rPr>
        <w:t xml:space="preserve">The Applicant seeks leave to appeal specifically against:</w:t>
      </w:r>
    </w:p>
    <w:p>
      <w:pPr>
        <w:pStyle w:val="ListParagraph"/>
        <w:numPr>
          <w:ilvl w:val="0"/>
          <w:numId w:val="2"/>
        </w:numPr>
        <w:spacing w:before="60" w:after="60"/>
      </w:pPr>
      <w:r>
        <w:rPr>
          <w:rFonts w:ascii="Arial" w:cs="Arial" w:eastAsia="Arial" w:hAnsi="Arial"/>
          <w:sz w:val="22"/>
          <w:szCs w:val="22"/>
        </w:rPr>
        <w:t xml:space="preserve">The Scale C costs order imposed against the Applicant personally as a self-represented whistleblower litigant advancing a constitutional and public interest matter;</w:t>
      </w:r>
    </w:p>
    <w:p>
      <w:pPr>
        <w:pStyle w:val="ListParagraph"/>
        <w:numPr>
          <w:ilvl w:val="0"/>
          <w:numId w:val="2"/>
        </w:numPr>
        <w:spacing w:before="60" w:after="60"/>
      </w:pPr>
      <w:r>
        <w:rPr>
          <w:rFonts w:ascii="Arial" w:cs="Arial" w:eastAsia="Arial" w:hAnsi="Arial"/>
          <w:sz w:val="22"/>
          <w:szCs w:val="22"/>
        </w:rPr>
        <w:t xml:space="preserve">The Court's failure to apply the Biowatch protection principle to shield a bona fide public interest litigant from punitive costs;</w:t>
      </w:r>
    </w:p>
    <w:p>
      <w:pPr>
        <w:pStyle w:val="ListParagraph"/>
        <w:numPr>
          <w:ilvl w:val="0"/>
          <w:numId w:val="2"/>
        </w:numPr>
        <w:spacing w:before="60" w:after="60"/>
      </w:pPr>
      <w:r>
        <w:rPr>
          <w:rFonts w:ascii="Arial" w:cs="Arial" w:eastAsia="Arial" w:hAnsi="Arial"/>
          <w:sz w:val="22"/>
          <w:szCs w:val="22"/>
        </w:rPr>
        <w:t xml:space="preserve">The Court's misdirection on urgency by disregarding the 112-day period of institutional inaction since 9 December 2025 and focusing exclusively on the Respondents' claimed short notice of service on or about 23 March 2026.</w:t>
      </w:r>
    </w:p>
    <w:p>
      <w:pPr>
        <w:spacing w:before="120" w:after="120"/>
      </w:pPr>
      <w:r>
        <w:t xml:space="preserve"/>
      </w:r>
    </w:p>
    <w:p>
      <w:pPr>
        <w:spacing w:before="280" w:after="120"/>
      </w:pPr>
      <w:r>
        <w:rPr>
          <w:rFonts w:ascii="Arial" w:cs="Arial" w:eastAsia="Arial" w:hAnsi="Arial"/>
          <w:b/>
          <w:bCs/>
          <w:color w:val="1A3C5E"/>
          <w:sz w:val="28"/>
          <w:szCs w:val="28"/>
        </w:rPr>
        <w:t xml:space="preserve">3. GROUNDS OF APPEAL</w:t>
      </w:r>
    </w:p>
    <w:p>
      <w:pPr>
        <w:spacing w:before="200" w:after="80"/>
      </w:pPr>
      <w:r>
        <w:rPr>
          <w:rFonts w:ascii="Arial" w:cs="Arial" w:eastAsia="Arial" w:hAnsi="Arial"/>
          <w:b/>
          <w:bCs/>
          <w:color w:val="1A3C5E"/>
          <w:sz w:val="24"/>
          <w:szCs w:val="24"/>
        </w:rPr>
        <w:t xml:space="preserve">3.1 The Biowatch Principle — Erroneous Costs Order</w:t>
      </w:r>
    </w:p>
    <w:p>
      <w:pPr>
        <w:spacing w:before="60" w:after="60"/>
        <w:jc w:val="both"/>
      </w:pPr>
      <w:r>
        <w:rPr>
          <w:rFonts w:ascii="Arial" w:cs="Arial" w:eastAsia="Arial" w:hAnsi="Arial"/>
          <w:b w:val="false"/>
          <w:bCs w:val="false"/>
          <w:i w:val="false"/>
          <w:iCs w:val="false"/>
          <w:sz w:val="22"/>
          <w:szCs w:val="22"/>
        </w:rPr>
        <w:t xml:space="preserve">In Biowatch Trust v Registrar, Genetic Resources and Others 2009 (6) SA 232 (CC), the Constitutional Court established the principle that where a litigant genuinely engages constitutional rights against the state or a public organ, an adverse costs order is generally inappropriate. The Applicant respectfully submits that the Court a quo erred in the following respects:</w:t>
      </w:r>
    </w:p>
    <w:p>
      <w:pPr>
        <w:pStyle w:val="ListParagraph"/>
        <w:numPr>
          <w:ilvl w:val="0"/>
          <w:numId w:val="2"/>
        </w:numPr>
        <w:spacing w:before="60" w:after="60"/>
      </w:pPr>
      <w:r>
        <w:rPr>
          <w:rFonts w:ascii="Arial" w:cs="Arial" w:eastAsia="Arial" w:hAnsi="Arial"/>
          <w:sz w:val="22"/>
          <w:szCs w:val="22"/>
        </w:rPr>
        <w:t xml:space="preserve">The Sixth Respondent, AfroCentric Investment Corporation Limited, is a JSE-listed public entity subject to the Companies Act 71 of 2008, the Employment Equity Act 55 of 1998, the Financial Sector Regulation Act 9 of 2017, and the B-BBEE Act. Its governance obligations carry a public character sufficient to engage the Biowatch protection;</w:t>
      </w:r>
    </w:p>
    <w:p>
      <w:pPr>
        <w:pStyle w:val="ListParagraph"/>
        <w:numPr>
          <w:ilvl w:val="0"/>
          <w:numId w:val="2"/>
        </w:numPr>
        <w:spacing w:before="60" w:after="60"/>
      </w:pPr>
      <w:r>
        <w:rPr>
          <w:rFonts w:ascii="Arial" w:cs="Arial" w:eastAsia="Arial" w:hAnsi="Arial"/>
          <w:sz w:val="22"/>
          <w:szCs w:val="22"/>
        </w:rPr>
        <w:t xml:space="preserve">The Application invoked constitutional rights under sections 22 (freedom of occupation), 23 (labour rights), 34 (access to courts), and 38 (enforcement of constitutional rights) of the Constitution of the Republic of South Africa, 1996;</w:t>
      </w:r>
    </w:p>
    <w:p>
      <w:pPr>
        <w:pStyle w:val="ListParagraph"/>
        <w:numPr>
          <w:ilvl w:val="0"/>
          <w:numId w:val="2"/>
        </w:numPr>
        <w:spacing w:before="60" w:after="60"/>
      </w:pPr>
      <w:r>
        <w:rPr>
          <w:rFonts w:ascii="Arial" w:cs="Arial" w:eastAsia="Arial" w:hAnsi="Arial"/>
          <w:sz w:val="22"/>
          <w:szCs w:val="22"/>
        </w:rPr>
        <w:t xml:space="preserve">The Applicant is a bona fide whistleblower who submitted a P1 Material Risk Report on 9 December 2025 — a disclosure of corporate and governance risk affecting employees, medical scheme beneficiaries, and the investing public. No punitive costs order is appropriate where such a litigant acts to vindicate constitutional and public interest rights;</w:t>
      </w:r>
    </w:p>
    <w:p>
      <w:pPr>
        <w:pStyle w:val="ListParagraph"/>
        <w:numPr>
          <w:ilvl w:val="0"/>
          <w:numId w:val="2"/>
        </w:numPr>
        <w:spacing w:before="60" w:after="60"/>
      </w:pPr>
      <w:r>
        <w:rPr>
          <w:rFonts w:ascii="Arial" w:cs="Arial" w:eastAsia="Arial" w:hAnsi="Arial"/>
          <w:sz w:val="22"/>
          <w:szCs w:val="22"/>
        </w:rPr>
        <w:t xml:space="preserve">A Scale C costs order — the highest punitive tariff available — visited upon a destitute, self-represented whistleblower facing imminent homelessness constitutes a manifestly disproportionate and chilling sanction that strikes at the very foundation of access to justice for vulnerable constitutional litigants.</w:t>
      </w:r>
    </w:p>
    <w:p>
      <w:pPr>
        <w:spacing w:before="120" w:after="120"/>
      </w:pPr>
      <w:r>
        <w:t xml:space="preserve"/>
      </w:r>
    </w:p>
    <w:p>
      <w:pPr>
        <w:spacing w:before="200" w:after="80"/>
      </w:pPr>
      <w:r>
        <w:rPr>
          <w:rFonts w:ascii="Arial" w:cs="Arial" w:eastAsia="Arial" w:hAnsi="Arial"/>
          <w:b/>
          <w:bCs/>
          <w:color w:val="1A3C5E"/>
          <w:sz w:val="24"/>
          <w:szCs w:val="24"/>
        </w:rPr>
        <w:t xml:space="preserve">3.2 Section 34 Constitutional Right to a Fair Hearing — Procedural Irregularity</w:t>
      </w:r>
    </w:p>
    <w:p>
      <w:pPr>
        <w:spacing w:before="60" w:after="60"/>
        <w:jc w:val="both"/>
      </w:pPr>
      <w:r>
        <w:rPr>
          <w:rFonts w:ascii="Arial" w:cs="Arial" w:eastAsia="Arial" w:hAnsi="Arial"/>
          <w:b w:val="false"/>
          <w:bCs w:val="false"/>
          <w:i w:val="false"/>
          <w:iCs w:val="false"/>
          <w:sz w:val="22"/>
          <w:szCs w:val="22"/>
        </w:rPr>
        <w:t xml:space="preserve">The Applicant submits that the hearing of 25 March 2026 was procedurally vitiated by the following irregularities, each of which independently constitutes a denial of the right to a fair hearing guaranteed under section 34 of the Constitution:</w:t>
      </w:r>
    </w:p>
    <w:p>
      <w:pPr>
        <w:pStyle w:val="ListParagraph"/>
        <w:numPr>
          <w:ilvl w:val="0"/>
          <w:numId w:val="2"/>
        </w:numPr>
        <w:spacing w:before="60" w:after="60"/>
      </w:pPr>
      <w:r>
        <w:rPr>
          <w:rFonts w:ascii="Arial" w:cs="Arial" w:eastAsia="Arial" w:hAnsi="Arial"/>
          <w:sz w:val="22"/>
          <w:szCs w:val="22"/>
        </w:rPr>
        <w:t xml:space="preserve">An unauthorized third party, purporting to act as an advocate on behalf of the Applicant without any mandate, instruction, or authority, intervened in the proceedings and made representations to the Court. The Applicant explicitly disavowed this person's authority and placed this on the record;</w:t>
      </w:r>
    </w:p>
    <w:p>
      <w:pPr>
        <w:pStyle w:val="ListParagraph"/>
        <w:numPr>
          <w:ilvl w:val="0"/>
          <w:numId w:val="2"/>
        </w:numPr>
        <w:spacing w:before="60" w:after="60"/>
      </w:pPr>
      <w:r>
        <w:rPr>
          <w:rFonts w:ascii="Arial" w:cs="Arial" w:eastAsia="Arial" w:hAnsi="Arial"/>
          <w:sz w:val="22"/>
          <w:szCs w:val="22"/>
        </w:rPr>
        <w:t xml:space="preserve">The Applicant's diagnosed Post-Traumatic Stress Disorder (PTSD) and his reliance on written notes to maintain coherent oral participation were placed on the record at the commencement of the hearing. The Court made no accommodation for this disability, as required by the principle of reasonable accommodation and the Constitutional Court's jurisprudence on access to justice for vulnerable litigants;</w:t>
      </w:r>
    </w:p>
    <w:p>
      <w:pPr>
        <w:pStyle w:val="ListParagraph"/>
        <w:numPr>
          <w:ilvl w:val="0"/>
          <w:numId w:val="2"/>
        </w:numPr>
        <w:spacing w:before="60" w:after="60"/>
      </w:pPr>
      <w:r>
        <w:rPr>
          <w:rFonts w:ascii="Arial" w:cs="Arial" w:eastAsia="Arial" w:hAnsi="Arial"/>
          <w:sz w:val="22"/>
          <w:szCs w:val="22"/>
        </w:rPr>
        <w:t xml:space="preserve">As a direct consequence of paragraphs 3.2.1 and 3.2.2 above, the Applicant was effectively denied a substantive opportunity to respond to the arguments advanced by the Respondents' Senior Counsel regarding urgency and service. The proceedings thus constituted, in substance, a one-sided hearing — a form of proceedings fundamentally inconsistent with the audi alteram partem principle;</w:t>
      </w:r>
    </w:p>
    <w:p>
      <w:pPr>
        <w:pStyle w:val="ListParagraph"/>
        <w:numPr>
          <w:ilvl w:val="0"/>
          <w:numId w:val="2"/>
        </w:numPr>
        <w:spacing w:before="60" w:after="60"/>
      </w:pPr>
      <w:r>
        <w:rPr>
          <w:rFonts w:ascii="Arial" w:cs="Arial" w:eastAsia="Arial" w:hAnsi="Arial"/>
          <w:sz w:val="22"/>
          <w:szCs w:val="22"/>
        </w:rPr>
        <w:t xml:space="preserve">The proceedings as conducted were, in material respects, a nullity in that the Applicant was not meaningfully heard, notwithstanding the formal appearance of a hearing having taken place.</w:t>
      </w:r>
    </w:p>
    <w:p>
      <w:pPr>
        <w:spacing w:before="120" w:after="120"/>
      </w:pPr>
      <w:r>
        <w:t xml:space="preserve"/>
      </w:r>
    </w:p>
    <w:p>
      <w:pPr>
        <w:spacing w:before="200" w:after="80"/>
      </w:pPr>
      <w:r>
        <w:rPr>
          <w:rFonts w:ascii="Arial" w:cs="Arial" w:eastAsia="Arial" w:hAnsi="Arial"/>
          <w:b/>
          <w:bCs/>
          <w:color w:val="1A3C5E"/>
          <w:sz w:val="24"/>
          <w:szCs w:val="24"/>
        </w:rPr>
        <w:t xml:space="preserve">3.3 Misdirection on Urgency — Failure to Apply Materialized Risk Test</w:t>
      </w:r>
    </w:p>
    <w:p>
      <w:pPr>
        <w:spacing w:before="60" w:after="60"/>
        <w:jc w:val="both"/>
      </w:pPr>
      <w:r>
        <w:rPr>
          <w:rFonts w:ascii="Arial" w:cs="Arial" w:eastAsia="Arial" w:hAnsi="Arial"/>
          <w:b w:val="false"/>
          <w:bCs w:val="false"/>
          <w:i w:val="false"/>
          <w:iCs w:val="false"/>
          <w:sz w:val="22"/>
          <w:szCs w:val="22"/>
        </w:rPr>
        <w:t xml:space="preserve">The Court a quo erred in its assessment of urgency in the following material respects:</w:t>
      </w:r>
    </w:p>
    <w:p>
      <w:pPr>
        <w:pStyle w:val="ListParagraph"/>
        <w:numPr>
          <w:ilvl w:val="0"/>
          <w:numId w:val="2"/>
        </w:numPr>
        <w:spacing w:before="60" w:after="60"/>
      </w:pPr>
      <w:r>
        <w:rPr>
          <w:rFonts w:ascii="Arial" w:cs="Arial" w:eastAsia="Arial" w:hAnsi="Arial"/>
          <w:sz w:val="22"/>
          <w:szCs w:val="22"/>
        </w:rPr>
        <w:t xml:space="preserve">The Court focused exclusively on the Respondents' allegation that they received notice only on Monday, 23 March 2026, without interrogating the primary basis for urgency — namely, that the Applicant's P1 Material Risk Report submitted on 9 December 2025 was suppressed by the Chief Risk Officer (Monwabisi Kula) on 18 December 2025 and that 112 days elapsed without any Board-level response, remediation, or governance intervention;</w:t>
      </w:r>
    </w:p>
    <w:p>
      <w:pPr>
        <w:pStyle w:val="ListParagraph"/>
        <w:numPr>
          <w:ilvl w:val="0"/>
          <w:numId w:val="2"/>
        </w:numPr>
        <w:spacing w:before="60" w:after="60"/>
      </w:pPr>
      <w:r>
        <w:rPr>
          <w:rFonts w:ascii="Arial" w:cs="Arial" w:eastAsia="Arial" w:hAnsi="Arial"/>
          <w:sz w:val="22"/>
          <w:szCs w:val="22"/>
        </w:rPr>
        <w:t xml:space="preserve">The urgency in this matter was not self-created by the Applicant. It was created and sustained by the Respondents' continued inaction in the face of a documented, formal material risk disclosure. The Applicant's Section 162 application was the consequence of that materialized institutional failure;</w:t>
      </w:r>
    </w:p>
    <w:p>
      <w:pPr>
        <w:pStyle w:val="ListParagraph"/>
        <w:numPr>
          <w:ilvl w:val="0"/>
          <w:numId w:val="2"/>
        </w:numPr>
        <w:spacing w:before="60" w:after="60"/>
      </w:pPr>
      <w:r>
        <w:rPr>
          <w:rFonts w:ascii="Arial" w:cs="Arial" w:eastAsia="Arial" w:hAnsi="Arial"/>
          <w:sz w:val="22"/>
          <w:szCs w:val="22"/>
        </w:rPr>
        <w:t xml:space="preserve">The imminent eviction of the Applicant on 31 March 2026 — itself a direct consequence of the constructive dismissal effected by the Respondents — constitutes irreparable harm of the most serious existential nature, engaging the Court's constitutional obligation to prevent irreversible injustice. This factor was not adequately weighed by the Court a quo.</w:t>
      </w:r>
    </w:p>
    <w:p>
      <w:pPr>
        <w:spacing w:before="120" w:after="120"/>
      </w:pPr>
      <w:r>
        <w:t xml:space="preserve"/>
      </w:r>
    </w:p>
    <w:p>
      <w:pPr>
        <w:spacing w:before="280" w:after="120"/>
      </w:pPr>
      <w:r>
        <w:rPr>
          <w:rFonts w:ascii="Arial" w:cs="Arial" w:eastAsia="Arial" w:hAnsi="Arial"/>
          <w:b/>
          <w:bCs/>
          <w:color w:val="1A3C5E"/>
          <w:sz w:val="28"/>
          <w:szCs w:val="28"/>
        </w:rPr>
        <w:t xml:space="preserve">4. THE PROSPECTS OF SUCCESS ON APPEAL</w:t>
      </w:r>
    </w:p>
    <w:p>
      <w:pPr>
        <w:spacing w:before="60" w:after="60"/>
        <w:jc w:val="both"/>
      </w:pPr>
      <w:r>
        <w:rPr>
          <w:rFonts w:ascii="Arial" w:cs="Arial" w:eastAsia="Arial" w:hAnsi="Arial"/>
          <w:b w:val="false"/>
          <w:bCs w:val="false"/>
          <w:i w:val="false"/>
          <w:iCs w:val="false"/>
          <w:sz w:val="22"/>
          <w:szCs w:val="22"/>
        </w:rPr>
        <w:t xml:space="preserve">The Applicant submits that the grounds set out above disclose reasonable prospects of success on appeal, and/or that there are compelling reasons why the appeal should be heard, within the meaning of section 17(1)(a) of the Superior Courts Act 10 of 2013, including:</w:t>
      </w:r>
    </w:p>
    <w:p>
      <w:pPr>
        <w:pStyle w:val="ListParagraph"/>
        <w:numPr>
          <w:ilvl w:val="0"/>
          <w:numId w:val="2"/>
        </w:numPr>
        <w:spacing w:before="60" w:after="60"/>
      </w:pPr>
      <w:r>
        <w:rPr>
          <w:rFonts w:ascii="Arial" w:cs="Arial" w:eastAsia="Arial" w:hAnsi="Arial"/>
          <w:sz w:val="22"/>
          <w:szCs w:val="22"/>
        </w:rPr>
        <w:t xml:space="preserve">The Biowatch principle is well-settled constitutional jurisprudence. Its misapplication in a matter involving a destitute whistleblower litigating against a JSE-listed public entity raises a question of law of public importance;</w:t>
      </w:r>
    </w:p>
    <w:p>
      <w:pPr>
        <w:pStyle w:val="ListParagraph"/>
        <w:numPr>
          <w:ilvl w:val="0"/>
          <w:numId w:val="2"/>
        </w:numPr>
        <w:spacing w:before="60" w:after="60"/>
      </w:pPr>
      <w:r>
        <w:rPr>
          <w:rFonts w:ascii="Arial" w:cs="Arial" w:eastAsia="Arial" w:hAnsi="Arial"/>
          <w:sz w:val="22"/>
          <w:szCs w:val="22"/>
        </w:rPr>
        <w:t xml:space="preserve">The procedural irregularities described in section 3.2 above, if established, vitiate the entire hearing and render the costs order a nullity;</w:t>
      </w:r>
    </w:p>
    <w:p>
      <w:pPr>
        <w:pStyle w:val="ListParagraph"/>
        <w:numPr>
          <w:ilvl w:val="0"/>
          <w:numId w:val="2"/>
        </w:numPr>
        <w:spacing w:before="60" w:after="60"/>
      </w:pPr>
      <w:r>
        <w:rPr>
          <w:rFonts w:ascii="Arial" w:cs="Arial" w:eastAsia="Arial" w:hAnsi="Arial"/>
          <w:sz w:val="22"/>
          <w:szCs w:val="22"/>
        </w:rPr>
        <w:t xml:space="preserve">The misdirection on urgency identified in section 3.3 discloses an error of law and fact that materially affected the outcome.</w:t>
      </w:r>
    </w:p>
    <w:p>
      <w:pPr>
        <w:spacing w:before="120" w:after="120"/>
      </w:pPr>
      <w:r>
        <w:t xml:space="preserve"/>
      </w:r>
    </w:p>
    <w:p>
      <w:pPr>
        <w:spacing w:before="280" w:after="120"/>
      </w:pPr>
      <w:r>
        <w:rPr>
          <w:rFonts w:ascii="Arial" w:cs="Arial" w:eastAsia="Arial" w:hAnsi="Arial"/>
          <w:b/>
          <w:bCs/>
          <w:color w:val="1A3C5E"/>
          <w:sz w:val="28"/>
          <w:szCs w:val="28"/>
        </w:rPr>
        <w:t xml:space="preserve">5. RELIEF SOUGHT</w:t>
      </w:r>
    </w:p>
    <w:p>
      <w:pPr>
        <w:spacing w:before="60" w:after="60"/>
        <w:jc w:val="both"/>
      </w:pPr>
      <w:r>
        <w:rPr>
          <w:rFonts w:ascii="Arial" w:cs="Arial" w:eastAsia="Arial" w:hAnsi="Arial"/>
          <w:b w:val="false"/>
          <w:bCs w:val="false"/>
          <w:i w:val="false"/>
          <w:iCs w:val="false"/>
          <w:sz w:val="22"/>
          <w:szCs w:val="22"/>
        </w:rPr>
        <w:t xml:space="preserve">The Applicant respectfully applies for:</w:t>
      </w:r>
    </w:p>
    <w:p>
      <w:pPr>
        <w:pStyle w:val="ListParagraph"/>
        <w:numPr>
          <w:ilvl w:val="0"/>
          <w:numId w:val="2"/>
        </w:numPr>
        <w:spacing w:before="60" w:after="60"/>
      </w:pPr>
      <w:r>
        <w:rPr>
          <w:rFonts w:ascii="Arial" w:cs="Arial" w:eastAsia="Arial" w:hAnsi="Arial"/>
          <w:sz w:val="22"/>
          <w:szCs w:val="22"/>
        </w:rPr>
        <w:t xml:space="preserve">Leave to appeal against the Scale C costs order of 25 March 2026;</w:t>
      </w:r>
    </w:p>
    <w:p>
      <w:pPr>
        <w:pStyle w:val="ListParagraph"/>
        <w:numPr>
          <w:ilvl w:val="0"/>
          <w:numId w:val="2"/>
        </w:numPr>
        <w:spacing w:before="60" w:after="60"/>
      </w:pPr>
      <w:r>
        <w:rPr>
          <w:rFonts w:ascii="Arial" w:cs="Arial" w:eastAsia="Arial" w:hAnsi="Arial"/>
          <w:sz w:val="22"/>
          <w:szCs w:val="22"/>
        </w:rPr>
        <w:t xml:space="preserve">In the event leave is granted, an order setting aside the Scale C costs order and substituting therefor an order that no costs be awarded against the Applicant, consistent with the Biowatch principle;</w:t>
      </w:r>
    </w:p>
    <w:p>
      <w:pPr>
        <w:pStyle w:val="ListParagraph"/>
        <w:numPr>
          <w:ilvl w:val="0"/>
          <w:numId w:val="2"/>
        </w:numPr>
        <w:spacing w:before="60" w:after="60"/>
      </w:pPr>
      <w:r>
        <w:rPr>
          <w:rFonts w:ascii="Arial" w:cs="Arial" w:eastAsia="Arial" w:hAnsi="Arial"/>
          <w:sz w:val="22"/>
          <w:szCs w:val="22"/>
        </w:rPr>
        <w:t xml:space="preserve">In the alternative, referral of the matter to the Full Bench for reconsideration of the costs order;</w:t>
      </w:r>
    </w:p>
    <w:p>
      <w:pPr>
        <w:pStyle w:val="ListParagraph"/>
        <w:numPr>
          <w:ilvl w:val="0"/>
          <w:numId w:val="2"/>
        </w:numPr>
        <w:spacing w:before="60" w:after="60"/>
      </w:pPr>
      <w:r>
        <w:rPr>
          <w:rFonts w:ascii="Arial" w:cs="Arial" w:eastAsia="Arial" w:hAnsi="Arial"/>
          <w:sz w:val="22"/>
          <w:szCs w:val="22"/>
        </w:rPr>
        <w:t xml:space="preserve">Such further and/or alternative relief as this Honourable Court deems just and equitable in the circumstances.</w:t>
      </w:r>
    </w:p>
    <w:p>
      <w:pPr>
        <w:spacing w:before="120" w:after="120"/>
      </w:pPr>
      <w:r>
        <w:t xml:space="preserve"/>
      </w:r>
    </w:p>
    <w:p>
      <w:pPr>
        <w:spacing w:before="280" w:after="120"/>
      </w:pPr>
      <w:r>
        <w:rPr>
          <w:rFonts w:ascii="Arial" w:cs="Arial" w:eastAsia="Arial" w:hAnsi="Arial"/>
          <w:b/>
          <w:bCs/>
          <w:color w:val="1A3C5E"/>
          <w:sz w:val="28"/>
          <w:szCs w:val="28"/>
        </w:rPr>
        <w:t xml:space="preserve">6. SERVICE</w:t>
      </w:r>
    </w:p>
    <w:p>
      <w:pPr>
        <w:spacing w:before="60" w:after="60"/>
        <w:jc w:val="both"/>
      </w:pPr>
      <w:r>
        <w:rPr>
          <w:rFonts w:ascii="Arial" w:cs="Arial" w:eastAsia="Arial" w:hAnsi="Arial"/>
          <w:b w:val="false"/>
          <w:bCs w:val="false"/>
          <w:i w:val="false"/>
          <w:iCs w:val="false"/>
          <w:sz w:val="22"/>
          <w:szCs w:val="22"/>
        </w:rPr>
        <w:t xml:space="preserve">The Applicant undertakes to serve this Notice on all Respondents' legal representatives forthwith upon filing with the Registrar.</w:t>
      </w:r>
    </w:p>
    <w:p>
      <w:pPr>
        <w:spacing w:before="240" w:after="240"/>
      </w:pPr>
      <w:r>
        <w:t xml:space="preserve"/>
      </w:r>
    </w:p>
    <w:p>
      <w:pPr>
        <w:pBdr>
          <w:bottom w:val="single" w:color="1A3C5E" w:sz="6" w:space="1"/>
        </w:pBdr>
        <w:spacing w:before="80" w:after="80"/>
      </w:pPr>
      <w:r>
        <w:t xml:space="preserve"/>
      </w:r>
    </w:p>
    <w:p>
      <w:pPr>
        <w:spacing w:before="160" w:after="160"/>
      </w:pPr>
      <w:r>
        <w:t xml:space="preserve"/>
      </w:r>
    </w:p>
    <w:p>
      <w:pPr>
        <w:spacing w:before="60" w:after="40"/>
      </w:pPr>
      <w:r>
        <w:rPr>
          <w:rFonts w:ascii="Arial" w:cs="Arial" w:eastAsia="Arial" w:hAnsi="Arial"/>
          <w:b/>
          <w:bCs/>
          <w:sz w:val="22"/>
          <w:szCs w:val="22"/>
        </w:rPr>
        <w:t xml:space="preserve">WILBUR WILLIAM MATTHEE</w:t>
      </w:r>
    </w:p>
    <w:p>
      <w:pPr>
        <w:spacing w:before="0" w:after="40"/>
      </w:pPr>
      <w:r>
        <w:rPr>
          <w:rFonts w:ascii="Arial" w:cs="Arial" w:eastAsia="Arial" w:hAnsi="Arial"/>
          <w:i/>
          <w:iCs/>
          <w:sz w:val="22"/>
          <w:szCs w:val="22"/>
        </w:rPr>
        <w:t xml:space="preserve">Applicant / Appellant — Appearing Pro Se</w:t>
      </w:r>
    </w:p>
    <w:p>
      <w:pPr>
        <w:spacing w:before="0" w:after="40"/>
      </w:pPr>
      <w:r>
        <w:rPr>
          <w:rFonts w:ascii="Arial" w:cs="Arial" w:eastAsia="Arial" w:hAnsi="Arial"/>
          <w:sz w:val="22"/>
          <w:szCs w:val="22"/>
        </w:rPr>
        <w:t xml:space="preserve">EthicHawks Forensic Governance Consultancy</w:t>
      </w:r>
    </w:p>
    <w:p>
      <w:pPr>
        <w:spacing w:before="0" w:after="40"/>
      </w:pPr>
      <w:r>
        <w:rPr>
          <w:rFonts w:ascii="Arial" w:cs="Arial" w:eastAsia="Arial" w:hAnsi="Arial"/>
          <w:sz w:val="22"/>
          <w:szCs w:val="22"/>
        </w:rPr>
        <w:t xml:space="preserve">info@ethichawks.co.za</w:t>
      </w:r>
    </w:p>
    <w:p>
      <w:pPr>
        <w:spacing w:before="0" w:after="40"/>
      </w:pPr>
      <w:r>
        <w:rPr>
          <w:rFonts w:ascii="Arial" w:cs="Arial" w:eastAsia="Arial" w:hAnsi="Arial"/>
          <w:sz w:val="22"/>
          <w:szCs w:val="22"/>
        </w:rPr>
        <w:t xml:space="preserve">Cape Town, Western Cape</w:t>
      </w:r>
    </w:p>
    <w:p>
      <w:pPr>
        <w:spacing w:before="0" w:after="120"/>
      </w:pPr>
      <w:r>
        <w:rPr>
          <w:rFonts w:ascii="Arial" w:cs="Arial" w:eastAsia="Arial" w:hAnsi="Arial"/>
          <w:sz w:val="22"/>
          <w:szCs w:val="22"/>
        </w:rPr>
        <w:t xml:space="preserve">Date: 25 March 2026</w:t>
      </w:r>
    </w:p>
    <w:p>
      <w:pPr>
        <w:pBdr>
          <w:bottom w:val="single" w:color="1A3C5E" w:sz="6" w:space="1"/>
        </w:pBdr>
        <w:spacing w:before="80" w:after="8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2026-03-25T18:13:37.649Z</dcterms:created>
  <dcterms:modified xsi:type="dcterms:W3CDTF">2026-03-25T18:13:37.651Z</dcterms:modified>
</cp:coreProperties>
</file>

<file path=docProps/custom.xml><?xml version="1.0" encoding="utf-8"?>
<Properties xmlns="http://schemas.openxmlformats.org/officeDocument/2006/custom-properties" xmlns:vt="http://schemas.openxmlformats.org/officeDocument/2006/docPropsVTypes"/>
</file>