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IN THE HIGH COURT OF SOUTH AFRICA</w:t>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WESTERN CAPE DIVISION, CAPE TOWN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Case No: 2026-086906</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In the matter between: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right" w:pos="8666"/>
        </w:tabs>
        <w:spacing w:after="0" w:before="0" w:line="480" w:lineRule="auto"/>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caps w:val="false"/>
          <w:sz w:val="24"/>
          <w:szCs w:val="24"/>
        </w:rPr>
        <w:t xml:space="preserve">Applicant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caps w:val="false"/>
          <w:sz w:val="24"/>
          <w:szCs w:val="24"/>
        </w:rPr>
        <w:t xml:space="preserve">and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right" w:pos="8666"/>
        </w:tabs>
        <w:spacing w:after="0" w:before="0" w:line="480" w:lineRule="auto"/>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caps w:val="false"/>
          <w:sz w:val="24"/>
          <w:szCs w:val="24"/>
        </w:rPr>
        <w:t xml:space="preserve">Respondent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u w:val="single"/>
        </w:rPr>
        <w:t xml:space="preserve">RESPONDENT'S ANSWERING AFFIDAVIT TO THE APPLICANT'S</w:t>
      </w:r>
    </w:p>
    <w:p>
      <w:pPr>
        <w:spacing w:after="0" w:before="0" w:line="480" w:lineRule="auto"/>
        <w:jc w:val="center"/>
      </w:pPr>
      <w:r>
        <w:rPr>
          <w:rFonts w:ascii="Times New Roman" w:cs="Times New Roman" w:eastAsia="Times New Roman" w:hAnsi="Times New Roman"/>
          <w:b/>
          <w:bCs/>
          <w:i w:val="false"/>
          <w:iCs w:val="false"/>
          <w:caps w:val="false"/>
          <w:sz w:val="24"/>
          <w:szCs w:val="24"/>
          <w:u w:val="single"/>
        </w:rPr>
        <w:t xml:space="preserve">SUPPLEMENTARY FOUNDING AFFIDAVIT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 the undersigned,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center"/>
      </w:pPr>
      <w:r>
        <w:rPr>
          <w:rFonts w:ascii="Times New Roman" w:cs="Times New Roman" w:eastAsia="Times New Roman" w:hAnsi="Times New Roman"/>
          <w:b/>
          <w:bCs/>
          <w:i w:val="false"/>
          <w:iCs w:val="false"/>
          <w:caps w:val="false"/>
          <w:sz w:val="24"/>
          <w:szCs w:val="24"/>
        </w:rPr>
        <w:t xml:space="preserve">WILBUR WILLIAM MATTHEE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do hereby make oath and state: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 THE DEPONENT AND STATUS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	</w:t>
      </w:r>
      <w:r>
        <w:rPr>
          <w:rFonts w:ascii="Times New Roman" w:cs="Times New Roman" w:eastAsia="Times New Roman" w:hAnsi="Times New Roman"/>
          <w:b w:val="false"/>
          <w:bCs w:val="false"/>
          <w:i w:val="false"/>
          <w:iCs w:val="false"/>
          <w:caps w:val="false"/>
          <w:sz w:val="24"/>
          <w:szCs w:val="24"/>
        </w:rPr>
        <w:t xml:space="preserve">I am the Respondent in this matter. I am an adult male, a Specialist Registered Nurse, a Health Services Manager holding a Postgraduate Diploma in Health Services Management (NQF Level 8) awarded with distinction, and the founder of Ethic Hawks.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	</w:t>
      </w:r>
      <w:r>
        <w:rPr>
          <w:rFonts w:ascii="Times New Roman" w:cs="Times New Roman" w:eastAsia="Times New Roman" w:hAnsi="Times New Roman"/>
          <w:b w:val="false"/>
          <w:bCs w:val="false"/>
          <w:i w:val="false"/>
          <w:iCs w:val="false"/>
          <w:caps w:val="false"/>
          <w:sz w:val="24"/>
          <w:szCs w:val="24"/>
        </w:rPr>
        <w:t xml:space="preserve">I act in person. The facts contained in this affidavit fall within my personal knowledge, save where the context indicates otherwise, and are both true and correct.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2. PURPOSE OF THIS AFFIDAVIT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2.1	</w:t>
      </w:r>
      <w:r>
        <w:rPr>
          <w:rFonts w:ascii="Times New Roman" w:cs="Times New Roman" w:eastAsia="Times New Roman" w:hAnsi="Times New Roman"/>
          <w:b w:val="false"/>
          <w:bCs w:val="false"/>
          <w:i w:val="false"/>
          <w:iCs w:val="false"/>
          <w:caps w:val="false"/>
          <w:sz w:val="24"/>
          <w:szCs w:val="24"/>
        </w:rPr>
        <w:t xml:space="preserve">This affidavit is filed to answer the Applicant's Supplementary Founding Affidavit deposed to by Lebohang Shadi Matsipa Mpumlwana on 4 May 2026.</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2.2	</w:t>
      </w:r>
      <w:r>
        <w:rPr>
          <w:rFonts w:ascii="Times New Roman" w:cs="Times New Roman" w:eastAsia="Times New Roman" w:hAnsi="Times New Roman"/>
          <w:b w:val="false"/>
          <w:bCs w:val="false"/>
          <w:i w:val="false"/>
          <w:iCs w:val="false"/>
          <w:caps w:val="false"/>
          <w:sz w:val="24"/>
          <w:szCs w:val="24"/>
        </w:rPr>
        <w:t xml:space="preserve">The primary objective of this affidavit is to expose a fatal corporate "shell game" executed by the Applicant. The Applicant seeks the equitable relief of a final interdict in this Honourable Court while systematically using its subsidiaries to commit perjury, withhold statutory exit documentation, and manipulate jurisdictions across the High Court and the Labour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2.3	</w:t>
      </w:r>
      <w:r>
        <w:rPr>
          <w:rFonts w:ascii="Times New Roman" w:cs="Times New Roman" w:eastAsia="Times New Roman" w:hAnsi="Times New Roman"/>
          <w:b w:val="false"/>
          <w:bCs w:val="false"/>
          <w:i w:val="false"/>
          <w:iCs w:val="false"/>
          <w:caps w:val="false"/>
          <w:sz w:val="24"/>
          <w:szCs w:val="24"/>
        </w:rPr>
        <w:t xml:space="preserve">This affidavit incorporates a comprehensive Bare Denials Analysis and an itemised Schedule of Perjuries and Corporate Misrepresentations that strip the Applicant of standing (locus standi) and the requisite "Clean Hands" required for a final interdict.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3. PRELIMINARY LEGAL OBJECTION: LACK OF LOCUS STANDI &amp; UNCLEAN HANDS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3.1	</w:t>
      </w:r>
      <w:r>
        <w:rPr>
          <w:rFonts w:ascii="Times New Roman" w:cs="Times New Roman" w:eastAsia="Times New Roman" w:hAnsi="Times New Roman"/>
          <w:b w:val="false"/>
          <w:bCs w:val="false"/>
          <w:i w:val="false"/>
          <w:iCs w:val="false"/>
          <w:caps w:val="false"/>
          <w:sz w:val="24"/>
          <w:szCs w:val="24"/>
        </w:rPr>
        <w:t xml:space="preserve">The Applicant, AfroCentric Investment Corporation Limited, is a listed holding company. Throughout its Supplementary Affidavit, the Applicant asserts that the Respondent was employed exclusively by a separate, distinct subsidiary: Medscheme Holdings (Pty) Ltd.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3.2	</w:t>
      </w:r>
      <w:r>
        <w:rPr>
          <w:rFonts w:ascii="Times New Roman" w:cs="Times New Roman" w:eastAsia="Times New Roman" w:hAnsi="Times New Roman"/>
          <w:b w:val="false"/>
          <w:bCs w:val="false"/>
          <w:i w:val="false"/>
          <w:iCs w:val="false"/>
          <w:caps w:val="false"/>
          <w:sz w:val="24"/>
          <w:szCs w:val="24"/>
        </w:rPr>
        <w:t xml:space="preserve">Paradoxically, the Applicant seeks a final interdict to suppress disclosures regarding systemic clinical and payroll integration gaps (the Gexus/DMS architectural flaws) on the basis that it has a "clear right" to protect proprietary operational systems.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3.3	</w:t>
      </w:r>
      <w:r>
        <w:rPr>
          <w:rFonts w:ascii="Times New Roman" w:cs="Times New Roman" w:eastAsia="Times New Roman" w:hAnsi="Times New Roman"/>
          <w:b w:val="false"/>
          <w:bCs w:val="false"/>
          <w:i w:val="false"/>
          <w:iCs w:val="false"/>
          <w:caps w:val="false"/>
          <w:sz w:val="24"/>
          <w:szCs w:val="24"/>
        </w:rPr>
        <w:t xml:space="preserve">The Applicant cannot have it both ways. If the underlying employment relationship, operational configurations, and statutory liabilities belong exclusively to Medscheme Holdings (Pty) Ltd to shield the holding company from liability, then the Applicant lacks the direct, substantial legal interest (locus standi) to seek a final interdict in its own name.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3.4	</w:t>
      </w:r>
      <w:r>
        <w:rPr>
          <w:rFonts w:ascii="Times New Roman" w:cs="Times New Roman" w:eastAsia="Times New Roman" w:hAnsi="Times New Roman"/>
          <w:b w:val="false"/>
          <w:bCs w:val="false"/>
          <w:i w:val="false"/>
          <w:iCs w:val="false"/>
          <w:caps w:val="false"/>
          <w:sz w:val="24"/>
          <w:szCs w:val="24"/>
        </w:rPr>
        <w:t xml:space="preserve">Furthermore, the Applicant approaches this court with "unclean hands." On 19 May 2026, corporate officials acting on behalf of the group filed a Statement of Response in the Labour Court (Case No: 2026-083299 / 2026-077546) stating under oath that they have "no knowledge" of these parallel proceedings. This directly contradicts the Group CEO Gerald Neville Van Wyk's High Court founding affidavit of 16 April 2026, which explicitly acknowledges the Labour Court litigation. This constitutes deliberate perjury across courts to mislead judicial officers.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B: CONTRADICTION OF STATEMENTS REGARDING PROFESSIONAL TITLE</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4. THE JOB TITLE MANIPULATION (THE HIGH COURT VS. THE EXIT REALITY)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4.1	</w:t>
      </w:r>
      <w:r>
        <w:rPr>
          <w:rFonts w:ascii="Times New Roman" w:cs="Times New Roman" w:eastAsia="Times New Roman" w:hAnsi="Times New Roman"/>
          <w:b w:val="false"/>
          <w:bCs w:val="false"/>
          <w:i w:val="false"/>
          <w:iCs w:val="false"/>
          <w:caps w:val="false"/>
          <w:sz w:val="24"/>
          <w:szCs w:val="24"/>
        </w:rPr>
        <w:t xml:space="preserve">In her Supplementary Affidavit, Ms. Mpumlwana attempts to gloss over the administrative degradation inflicted upon me. The Applicant's executive structure, including statements supported by the Group CEO, has consistently relied on my senior professional appointment as a "Case Manager" within High Court filings to exaggerate the purported risk I pose regarding internal clinical systems and data management.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4.2	</w:t>
      </w:r>
      <w:r>
        <w:rPr>
          <w:rFonts w:ascii="Times New Roman" w:cs="Times New Roman" w:eastAsia="Times New Roman" w:hAnsi="Times New Roman"/>
          <w:b w:val="false"/>
          <w:bCs w:val="false"/>
          <w:i w:val="false"/>
          <w:iCs w:val="false"/>
          <w:caps w:val="false"/>
          <w:sz w:val="24"/>
          <w:szCs w:val="24"/>
        </w:rPr>
        <w:t xml:space="preserve">However, the objective corporate record tells a completely different, duplicitous story. When executing my exit documentation, the CCMA responses, and the statutory UI-19 forms submitted to the Department of Employment and Labour, the employer intentionally and unilaterally downgraded my professional designation to "Care Coordinator."</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4.3	</w:t>
      </w:r>
      <w:r>
        <w:rPr>
          <w:rFonts w:ascii="Times New Roman" w:cs="Times New Roman" w:eastAsia="Times New Roman" w:hAnsi="Times New Roman"/>
          <w:b w:val="false"/>
          <w:bCs w:val="false"/>
          <w:i w:val="false"/>
          <w:iCs w:val="false"/>
          <w:caps w:val="false"/>
          <w:sz w:val="24"/>
          <w:szCs w:val="24"/>
        </w:rPr>
        <w:t xml:space="preserve">This manipulation was not an administrative oversight; it was a calculated attempt to diminish my professional status, downgrade my architectural involvement with the Gexus/DMS platforms, and undermine my institutional credibility before statutory bodies.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4.4	</w:t>
      </w:r>
      <w:r>
        <w:rPr>
          <w:rFonts w:ascii="Times New Roman" w:cs="Times New Roman" w:eastAsia="Times New Roman" w:hAnsi="Times New Roman"/>
          <w:b w:val="false"/>
          <w:bCs w:val="false"/>
          <w:i w:val="false"/>
          <w:iCs w:val="false"/>
          <w:caps w:val="false"/>
          <w:sz w:val="24"/>
          <w:szCs w:val="24"/>
        </w:rPr>
        <w:t xml:space="preserve">The Applicant cannot treat me as a highly placed senior specialist in the High Court for the purpose of painting me as an operational threat, while simultaneously devaluing my title to an administrative subordinate in labor forums to compromise my professional record and frustrate my statutory claims.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C: EXPOSING THE DEPUTY INFORMATION OFFICER'S FALSE DECLARATION</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5. THE GEXUS/DMS SYSTEMIC INTEGRATION PERJURY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5.1	</w:t>
      </w:r>
      <w:r>
        <w:rPr>
          <w:rFonts w:ascii="Times New Roman" w:cs="Times New Roman" w:eastAsia="Times New Roman" w:hAnsi="Times New Roman"/>
          <w:b w:val="false"/>
          <w:bCs w:val="false"/>
          <w:i w:val="false"/>
          <w:iCs w:val="false"/>
          <w:caps w:val="false"/>
          <w:sz w:val="24"/>
          <w:szCs w:val="24"/>
        </w:rPr>
        <w:t xml:space="preserve">A cornerstone of Ms. Mpumlwana's supplementary deposition is her reliance on a statement by the Applicant's Deputy Information Officer, who purports to confirm under oath that no "systemic gap", "architectural vulnerability," or data exposure exists within the Gexus/DMS production environments.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5.2	</w:t>
      </w:r>
      <w:r>
        <w:rPr>
          <w:rFonts w:ascii="Times New Roman" w:cs="Times New Roman" w:eastAsia="Times New Roman" w:hAnsi="Times New Roman"/>
          <w:b w:val="false"/>
          <w:bCs w:val="false"/>
          <w:i w:val="false"/>
          <w:iCs w:val="false"/>
          <w:caps w:val="false"/>
          <w:sz w:val="24"/>
          <w:szCs w:val="24"/>
        </w:rPr>
        <w:t xml:space="preserve">This statement is patently false and constitutes a direct attempt to mislead this Honourable Court on a matter impacting public health data integrity and billions of Rands in systemic financial leakage (specifically regarding the Mahlangu RCA / APN 303 risk loading).</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5.3	</w:t>
      </w:r>
      <w:r>
        <w:rPr>
          <w:rFonts w:ascii="Times New Roman" w:cs="Times New Roman" w:eastAsia="Times New Roman" w:hAnsi="Times New Roman"/>
          <w:b w:val="false"/>
          <w:bCs w:val="false"/>
          <w:i w:val="false"/>
          <w:iCs w:val="false"/>
          <w:caps w:val="false"/>
          <w:sz w:val="24"/>
          <w:szCs w:val="24"/>
        </w:rPr>
        <w:t xml:space="preserve">As a Specialist Nurse and Health Services Manager who actively operated within these environments, I recorded and escalated verified integration blind spots where medical scheme member data, clinical validation flags, and payroll deductions fail to synchronize accurately.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5.4	</w:t>
      </w:r>
      <w:r>
        <w:rPr>
          <w:rFonts w:ascii="Times New Roman" w:cs="Times New Roman" w:eastAsia="Times New Roman" w:hAnsi="Times New Roman"/>
          <w:b w:val="false"/>
          <w:bCs w:val="false"/>
          <w:i w:val="false"/>
          <w:iCs w:val="false"/>
          <w:caps w:val="false"/>
          <w:sz w:val="24"/>
          <w:szCs w:val="24"/>
        </w:rPr>
        <w:t xml:space="preserve">By putting forward a blanket denial through the Deputy Information Officer, the Applicant is using an oath to execute a corporate cover-up of a known data and financial risk. They seek a final interdict to suppress a Protected Disclosure under the guise of protecting proprietary secrets, when in truth they are concealing structural non-compliance with the Protection of Personal Information Act 4 of 2013 ("POPIA").</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D: AD SERIATIM RESPONSES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6. AD PARAGRAPHS 1 TO 4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6.1	</w:t>
      </w:r>
      <w:r>
        <w:rPr>
          <w:rFonts w:ascii="Times New Roman" w:cs="Times New Roman" w:eastAsia="Times New Roman" w:hAnsi="Times New Roman"/>
          <w:b w:val="false"/>
          <w:bCs w:val="false"/>
          <w:i w:val="false"/>
          <w:iCs w:val="false"/>
          <w:caps w:val="false"/>
          <w:sz w:val="24"/>
          <w:szCs w:val="24"/>
        </w:rPr>
        <w:t xml:space="preserve">The contents of these paragraphs are noted. I specifically deny that Ms. Mpumlwana holds uncontradicted personal knowledge of the operational realities within the subsidiaries, or that she has disclosed the full material facts to this Honourable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7. AD PARAGRAPHS 5 TO 10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7.1	</w:t>
      </w:r>
      <w:r>
        <w:rPr>
          <w:rFonts w:ascii="Times New Roman" w:cs="Times New Roman" w:eastAsia="Times New Roman" w:hAnsi="Times New Roman"/>
          <w:b w:val="false"/>
          <w:bCs w:val="false"/>
          <w:i w:val="false"/>
          <w:iCs w:val="false"/>
          <w:caps w:val="false"/>
          <w:sz w:val="24"/>
          <w:szCs w:val="24"/>
        </w:rPr>
        <w:t xml:space="preserve">Save to admit the procedural history and the text of the rule nisi granted on 16 April 2026, the contents of these paragraphs are denied.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7.2	</w:t>
      </w:r>
      <w:r>
        <w:rPr>
          <w:rFonts w:ascii="Times New Roman" w:cs="Times New Roman" w:eastAsia="Times New Roman" w:hAnsi="Times New Roman"/>
          <w:b w:val="false"/>
          <w:bCs w:val="false"/>
          <w:i w:val="false"/>
          <w:iCs w:val="false"/>
          <w:caps w:val="false"/>
          <w:sz w:val="24"/>
          <w:szCs w:val="24"/>
        </w:rPr>
        <w:t xml:space="preserve">I specifically deny that my communications dated 14 and 15 April 2026 constitute criminal extortion.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7.3	</w:t>
      </w:r>
      <w:r>
        <w:rPr>
          <w:rFonts w:ascii="Times New Roman" w:cs="Times New Roman" w:eastAsia="Times New Roman" w:hAnsi="Times New Roman"/>
          <w:b w:val="false"/>
          <w:bCs w:val="false"/>
          <w:i w:val="false"/>
          <w:iCs w:val="false"/>
          <w:caps w:val="false"/>
          <w:sz w:val="24"/>
          <w:szCs w:val="24"/>
        </w:rPr>
        <w:t xml:space="preserve">As detailed below, the email of 15 April 2026 was a lawful, itemised financial quantification of a filed, pending statutory Labour Court Statement of Claim (filed 9 April 2026). This quantification was compiled and transmitted at the explicit written request of the Applicant's own attorneys of record, Deneys. It is an abuse of process to request a legal quantification and then flag that quantification as an act of extortion to obtain an emergency interdict.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8. AD PARAGRAPHS 11 TO 30 THEREIN (THE "EXTORTION" NARRATIVE)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8.1	</w:t>
      </w:r>
      <w:r>
        <w:rPr>
          <w:rFonts w:ascii="Times New Roman" w:cs="Times New Roman" w:eastAsia="Times New Roman" w:hAnsi="Times New Roman"/>
          <w:b w:val="false"/>
          <w:bCs w:val="false"/>
          <w:i w:val="false"/>
          <w:iCs w:val="false"/>
          <w:caps w:val="false"/>
          <w:sz w:val="24"/>
          <w:szCs w:val="24"/>
        </w:rPr>
        <w:t xml:space="preserve">The allegations contained in these paragraphs are false and are vehemently denied. The Applicant has intentionally stripped my communications of their legal context to engineer an artificial emergency.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8.2	</w:t>
      </w:r>
      <w:r>
        <w:rPr>
          <w:rFonts w:ascii="Times New Roman" w:cs="Times New Roman" w:eastAsia="Times New Roman" w:hAnsi="Times New Roman"/>
          <w:b w:val="false"/>
          <w:bCs w:val="false"/>
          <w:i w:val="false"/>
          <w:iCs w:val="false"/>
          <w:caps w:val="false"/>
          <w:sz w:val="24"/>
          <w:szCs w:val="24"/>
        </w:rPr>
        <w:t xml:space="preserve">My Statement of Claim in the Labour Court (Case No: 2026-077546) expressly reserved the right to quantify damages arising from occupational detriments and unfair labor practices. On 15 April 2026, Deneys sent an electronic inquiry stating that my claims were "unquantified."</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8.3	</w:t>
      </w:r>
      <w:r>
        <w:rPr>
          <w:rFonts w:ascii="Times New Roman" w:cs="Times New Roman" w:eastAsia="Times New Roman" w:hAnsi="Times New Roman"/>
          <w:b w:val="false"/>
          <w:bCs w:val="false"/>
          <w:i w:val="false"/>
          <w:iCs w:val="false"/>
          <w:caps w:val="false"/>
          <w:sz w:val="24"/>
          <w:szCs w:val="24"/>
        </w:rPr>
        <w:t xml:space="preserve">My response on the afternoon of 15 April 2026 provided a mathematically precise, itemised schedule totaling R7,307,642.72, anchored strictly to statutory components: contractual breach, unpaid overtime, irregular payroll deductions, and compensation under the Protected Disclosures Act 26 of 2000 ("PDA").</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8.4	</w:t>
      </w:r>
      <w:r>
        <w:rPr>
          <w:rFonts w:ascii="Times New Roman" w:cs="Times New Roman" w:eastAsia="Times New Roman" w:hAnsi="Times New Roman"/>
          <w:b w:val="false"/>
          <w:bCs w:val="false"/>
          <w:i w:val="false"/>
          <w:iCs w:val="false"/>
          <w:caps w:val="false"/>
          <w:sz w:val="24"/>
          <w:szCs w:val="24"/>
        </w:rPr>
        <w:t xml:space="preserve">The threat of a Protected Disclosures Act escalation to labor federations (PSA, NEHAWU, DENOSA) is a right expressly protected under Section 9 of the PDA. Internal escalation channels were entirely exhausted and actively choked when the Chief Risk Officer, Monwabisi Kula, issued a corporate gag order instructing me to "stop sending these emails."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9. AD PARAGRAPHS 31 TO 36 THEREIN (THE SALARY REDUCTION AND "RED HERRINGS")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9.1	</w:t>
      </w:r>
      <w:r>
        <w:rPr>
          <w:rFonts w:ascii="Times New Roman" w:cs="Times New Roman" w:eastAsia="Times New Roman" w:hAnsi="Times New Roman"/>
          <w:b w:val="false"/>
          <w:bCs w:val="false"/>
          <w:i w:val="false"/>
          <w:iCs w:val="false"/>
          <w:caps w:val="false"/>
          <w:sz w:val="24"/>
          <w:szCs w:val="24"/>
        </w:rPr>
        <w:t xml:space="preserve">The contents of these paragraphs are denied. The Applicant's characterisation of my salary reduction as a routine "no-work, no-pay" calculation is a deliberate misrepresentation.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9.2	</w:t>
      </w:r>
      <w:r>
        <w:rPr>
          <w:rFonts w:ascii="Times New Roman" w:cs="Times New Roman" w:eastAsia="Times New Roman" w:hAnsi="Times New Roman"/>
          <w:b w:val="false"/>
          <w:bCs w:val="false"/>
          <w:i w:val="false"/>
          <w:iCs w:val="false"/>
          <w:caps w:val="false"/>
          <w:sz w:val="24"/>
          <w:szCs w:val="24"/>
        </w:rPr>
        <w:t xml:space="preserve">The unilateral reduction of my salary was a direct, punitive response executing an occupational detriment, following my refusal to comply with an unlawful instruction after I escalated the Gexus/DMS integration gap — which exposes medical schemes to a R3.016 billion financial and clinical liability.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9.3	</w:t>
      </w:r>
      <w:r>
        <w:rPr>
          <w:rFonts w:ascii="Times New Roman" w:cs="Times New Roman" w:eastAsia="Times New Roman" w:hAnsi="Times New Roman"/>
          <w:b w:val="false"/>
          <w:bCs w:val="false"/>
          <w:i w:val="false"/>
          <w:iCs w:val="false"/>
          <w:caps w:val="false"/>
          <w:sz w:val="24"/>
          <w:szCs w:val="24"/>
        </w:rPr>
        <w:t xml:space="preserve">The payroll systems were manipulated to simulate a voluntary absence, completely ignoring my documented, uncontested psychiatric disability (severe PTSD and depression) validated by Dr. Jacques Malan. The Applicant cannot reduce an employee to destitution, withhold exit paperwork, and then claim in the High Court that the resulting disputes are "red herrings."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10. AD PARAGRAPH 37 THEREIN (THE "WILMA" INCIDENT)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10.1	</w:t>
      </w:r>
      <w:r>
        <w:rPr>
          <w:rFonts w:ascii="Times New Roman" w:cs="Times New Roman" w:eastAsia="Times New Roman" w:hAnsi="Times New Roman"/>
          <w:b w:val="false"/>
          <w:bCs w:val="false"/>
          <w:i w:val="false"/>
          <w:iCs w:val="false"/>
          <w:caps w:val="false"/>
          <w:sz w:val="24"/>
          <w:szCs w:val="24"/>
        </w:rPr>
        <w:t xml:space="preserve">The contents of this paragraph are denied. The reference to the "Wilma" data event is not an external threat to corporate infrastructure; it is objective evidence of an internal data integrity breach and administrative chaos within the Applicant's systems. This constitutes a valid regulatory concern under POPIA, which I was legally obligated to report.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11. AD PARAGRAPH 38 (INCLUDING SUB-PARAGRAPHS 38.1 TO 38.5)</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11.1	</w:t>
      </w:r>
      <w:r>
        <w:rPr>
          <w:rFonts w:ascii="Times New Roman" w:cs="Times New Roman" w:eastAsia="Times New Roman" w:hAnsi="Times New Roman"/>
          <w:b w:val="false"/>
          <w:bCs w:val="false"/>
          <w:i w:val="false"/>
          <w:iCs w:val="false"/>
          <w:caps w:val="false"/>
          <w:sz w:val="24"/>
          <w:szCs w:val="24"/>
        </w:rPr>
        <w:t xml:space="preserve">The contents of these paragraphs are denied. The Applicant's legal counsel argues that issuing a UI-19 reflecting anything other than "resignation" would be a fraudulent misrepresentation. This is an egregious distortion of the law.</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11.2	</w:t>
      </w:r>
      <w:r>
        <w:rPr>
          <w:rFonts w:ascii="Times New Roman" w:cs="Times New Roman" w:eastAsia="Times New Roman" w:hAnsi="Times New Roman"/>
          <w:b w:val="false"/>
          <w:bCs w:val="false"/>
          <w:i w:val="false"/>
          <w:iCs w:val="false"/>
          <w:caps w:val="false"/>
          <w:sz w:val="24"/>
          <w:szCs w:val="24"/>
        </w:rPr>
        <w:t xml:space="preserve">My exit from the company was a constructive dismissal driven by intolerable occupational detriments following protected disclosures. Forcing an employee out and then rendering them administratively destitute by submitting an inaccurate "Resignation" code to the Department of Employment and Labour — thereby blocking my lawful access to Unemployment Insurance Fund (UIF) benefits — is a statutory offense.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11.3	</w:t>
      </w:r>
      <w:r>
        <w:rPr>
          <w:rFonts w:ascii="Times New Roman" w:cs="Times New Roman" w:eastAsia="Times New Roman" w:hAnsi="Times New Roman"/>
          <w:b w:val="false"/>
          <w:bCs w:val="false"/>
          <w:i w:val="false"/>
          <w:iCs w:val="false"/>
          <w:caps w:val="false"/>
          <w:sz w:val="24"/>
          <w:szCs w:val="24"/>
        </w:rPr>
        <w:t xml:space="preserve">Due to the fraudulent manipulation of these statutory levies and exit documentation (including the withholding of the UIF remittance for June 2025), a formal criminal case has been registered under SAPS CAS 705/3/2026 (transferred to SAPS Woodstock). The Applicant lacks the clean hands necessary to seek equitable relief from this Honourable Court while its officials are under active criminal investigation for the exact same matrix of administrative conduct.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12. AD PARAGRAPHS 39 TO 45 THEREIN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12.1	</w:t>
      </w:r>
      <w:r>
        <w:rPr>
          <w:rFonts w:ascii="Times New Roman" w:cs="Times New Roman" w:eastAsia="Times New Roman" w:hAnsi="Times New Roman"/>
          <w:b w:val="false"/>
          <w:bCs w:val="false"/>
          <w:i w:val="false"/>
          <w:iCs w:val="false"/>
          <w:caps w:val="false"/>
          <w:sz w:val="24"/>
          <w:szCs w:val="24"/>
        </w:rPr>
        <w:t xml:space="preserve">The contents of these paragraphs are denied. I deny that the Applicant has established a clear right, an apprehension of irreparable harm, or the absence of an alternative remedy.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12.2	</w:t>
      </w:r>
      <w:r>
        <w:rPr>
          <w:rFonts w:ascii="Times New Roman" w:cs="Times New Roman" w:eastAsia="Times New Roman" w:hAnsi="Times New Roman"/>
          <w:b w:val="false"/>
          <w:bCs w:val="false"/>
          <w:i w:val="false"/>
          <w:iCs w:val="false"/>
          <w:caps w:val="false"/>
          <w:sz w:val="24"/>
          <w:szCs w:val="24"/>
        </w:rPr>
        <w:t xml:space="preserve">The Applicant's alternative remedy resides completely within the Labour Court and the pending statutory arbitrations. This High Court application is a classic Strategic Lawsuit Against Public Participation (SLAPP) designed to bankrupt and silence a self-represented whistleblower.</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E: INCORPORATED SCHEDULE OF PERJURIES &amp; BARE DENIALS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13. MATERIAL PERJURIES MATRIX</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To assist this Honourable Court in assessing the credibility and standing of the Applicant, the Respondent sets out the following direct contradictions made under oath by the Applicant's executive structure: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33"/>
        <w:gridCol w:w="3033"/>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No.</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Forum &amp; Document</w:t>
            </w:r>
          </w:p>
        </w:tc>
        <w:tc>
          <w:tcPr>
            <w:tcW w:type="dxa" w:w="303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Statement Under Oath</w:t>
            </w:r>
          </w:p>
        </w:tc>
        <w:tc>
          <w:tcPr>
            <w:tcW w:type="dxa" w:w="303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80" w:lineRule="auto"/>
            </w:pPr>
            <w:r>
              <w:rPr>
                <w:rFonts w:ascii="Times New Roman" w:cs="Times New Roman" w:eastAsia="Times New Roman" w:hAnsi="Times New Roman"/>
                <w:b/>
                <w:bCs/>
                <w:i w:val="false"/>
                <w:iCs w:val="false"/>
                <w:caps w:val="false"/>
                <w:sz w:val="20"/>
                <w:szCs w:val="20"/>
              </w:rPr>
              <w:t xml:space="preserve">The Verifiable Reality / Contradiction</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Founding Affidavit (16 Apr 2026)</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Deponent states the Group is aware of and intends to handle all disputes via proper legal channels, referencing the Labour Court cases.</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Statement of Response filed by Vijay Makenjee in the Labour Court on 19 May 2026 states under oath: "The Defendants are not aware of any further claim with case number 2026-077546."</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Supplementary Affidavit (4 May 2026)</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Claims the Respondent's job title and salary calculations were handled lawfully as a "Case Manager".</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Certificate of Service and Exit UI-19 documentation deliberately downgraded the Respondent's title to "Care Coordinator" to diminish professional standing.</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CCMA Opposing Affidavit (X.V. Manyati)</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Alleges that the Respondent's documented PTSD and mental health deterioration was "an afterthought" and "an excuse".</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The Applicant possessed comprehensive, independent medical reports from Dr. Malan dating back to mid-2025, which were actively ignored by HR executives.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P4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High Court Reply / Deputy Info Officer</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Declares under oath that no architectural data vulnerabilities or Gexus/DMS systems integration gaps exist.</w:t>
            </w:r>
          </w:p>
        </w:tc>
        <w:tc>
          <w:tcPr>
            <w:tcW w:type="dxa" w:w="30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both"/>
            </w:pPr>
            <w:r>
              <w:rPr>
                <w:rFonts w:ascii="Times New Roman" w:cs="Times New Roman" w:eastAsia="Times New Roman" w:hAnsi="Times New Roman"/>
                <w:b w:val="false"/>
                <w:bCs w:val="false"/>
                <w:i w:val="false"/>
                <w:iCs w:val="false"/>
                <w:caps w:val="false"/>
                <w:sz w:val="20"/>
                <w:szCs w:val="20"/>
              </w:rPr>
              <w:t xml:space="preserve">Internal technical escalations and the Mahlangu RCA record clear system non-synchronization, exposing members to a R3.016 billion financial liability.</w:t>
            </w:r>
          </w:p>
        </w:tc>
      </w:tr>
    </w:tbl>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14. STATUTORY PROTECTIONS &amp; POPIA DEFENCE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14.1	</w:t>
      </w:r>
      <w:r>
        <w:rPr>
          <w:rFonts w:ascii="Times New Roman" w:cs="Times New Roman" w:eastAsia="Times New Roman" w:hAnsi="Times New Roman"/>
          <w:b w:val="false"/>
          <w:bCs w:val="false"/>
          <w:i w:val="false"/>
          <w:iCs w:val="false"/>
          <w:caps w:val="false"/>
          <w:sz w:val="24"/>
          <w:szCs w:val="24"/>
        </w:rPr>
        <w:t xml:space="preserve">The Applicant seeks to restrain me from communicating with statutory bodies, including the Information Regulator, regarding data breaches.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14.2	</w:t>
      </w:r>
      <w:r>
        <w:rPr>
          <w:rFonts w:ascii="Times New Roman" w:cs="Times New Roman" w:eastAsia="Times New Roman" w:hAnsi="Times New Roman"/>
          <w:b w:val="false"/>
          <w:bCs w:val="false"/>
          <w:i w:val="false"/>
          <w:iCs w:val="false"/>
          <w:caps w:val="false"/>
          <w:sz w:val="24"/>
          <w:szCs w:val="24"/>
        </w:rPr>
        <w:t xml:space="preserve">As the founder of Ethic Hawks and a registered healthcare professional, I am legally bound by statutory ethical codes and POPIA provisions to report systemic vulnerabilities that compromise patient records and public health funds. An interdict cannot be used to override a statutory duty to report corporate non-compliance to a Regulatory Authority.</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SECTION F: COMPREHENSIVE PRAYER AND REFERRAL ORDERS</w:t>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Wherefore the Respondent respectfully prays that the Honourable Court: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1.	</w:t>
      </w:r>
      <w:r>
        <w:rPr>
          <w:rFonts w:ascii="Times New Roman" w:cs="Times New Roman" w:eastAsia="Times New Roman" w:hAnsi="Times New Roman"/>
          <w:b w:val="false"/>
          <w:bCs w:val="false"/>
          <w:i w:val="false"/>
          <w:iCs w:val="false"/>
          <w:caps w:val="false"/>
          <w:sz w:val="24"/>
          <w:szCs w:val="24"/>
        </w:rPr>
        <w:t xml:space="preserve">Dismisses the Applicant's application for the confirmation of the rule nisi with costs on an attorney-and-client scale;</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2.	</w:t>
      </w:r>
      <w:r>
        <w:rPr>
          <w:rFonts w:ascii="Times New Roman" w:cs="Times New Roman" w:eastAsia="Times New Roman" w:hAnsi="Times New Roman"/>
          <w:b w:val="false"/>
          <w:bCs w:val="false"/>
          <w:i w:val="false"/>
          <w:iCs w:val="false"/>
          <w:caps w:val="false"/>
          <w:sz w:val="24"/>
          <w:szCs w:val="24"/>
        </w:rPr>
        <w:t xml:space="preserve">Discharges the interim order granted on 16 April 2026 with immediate effect;</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3.	</w:t>
      </w:r>
      <w:r>
        <w:rPr>
          <w:rFonts w:ascii="Times New Roman" w:cs="Times New Roman" w:eastAsia="Times New Roman" w:hAnsi="Times New Roman"/>
          <w:b w:val="false"/>
          <w:bCs w:val="false"/>
          <w:i w:val="false"/>
          <w:iCs w:val="false"/>
          <w:caps w:val="false"/>
          <w:sz w:val="24"/>
          <w:szCs w:val="24"/>
        </w:rPr>
        <w:t xml:space="preserve">Grants the relief sought in the Respondent's Counter-Application, declaring the disclosures regarding the Gexus/DMS integration flaws to be Protected Disclosures in terms of Act 26 of 2000;</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4.	</w:t>
      </w:r>
      <w:r>
        <w:rPr>
          <w:rFonts w:ascii="Times New Roman" w:cs="Times New Roman" w:eastAsia="Times New Roman" w:hAnsi="Times New Roman"/>
          <w:b w:val="false"/>
          <w:bCs w:val="false"/>
          <w:i w:val="false"/>
          <w:iCs w:val="false"/>
          <w:caps w:val="false"/>
          <w:sz w:val="24"/>
          <w:szCs w:val="24"/>
        </w:rPr>
        <w:t xml:space="defaul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440"/>
        </w:tabs>
        <w:spacing w:after="0" w:before="0" w:line="480" w:lineRule="auto"/>
        <w:ind w:left="1440" w:hanging="1440"/>
        <w:jc w:val="both"/>
      </w:pPr>
      <w:r>
        <w:rPr>
          <w:rFonts w:ascii="Times New Roman" w:cs="Times New Roman" w:eastAsia="Times New Roman" w:hAnsi="Times New Roman"/>
          <w:b w:val="false"/>
          <w:bCs w:val="false"/>
          <w:i w:val="false"/>
          <w:iCs w:val="false"/>
          <w:caps w:val="false"/>
          <w:sz w:val="24"/>
          <w:szCs w:val="24"/>
        </w:rPr>
        <w:t xml:space="preserve">5.	</w:t>
      </w:r>
      <w:r>
        <w:rPr>
          <w:rFonts w:ascii="Times New Roman" w:cs="Times New Roman" w:eastAsia="Times New Roman" w:hAnsi="Times New Roman"/>
          <w:b w:val="false"/>
          <w:bCs w:val="false"/>
          <w:i w:val="false"/>
          <w:iCs w:val="false"/>
          <w:caps w:val="false"/>
          <w:sz w:val="24"/>
          <w:szCs w:val="24"/>
        </w:rPr>
        <w:t xml:space="defaul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4333"/>
        </w:tabs>
        <w:spacing w:after="0" w:before="0" w:line="240" w:lineRule="auto"/>
      </w:pPr>
      <w:r>
        <w:rPr>
          <w:rFonts w:ascii="Times New Roman" w:cs="Times New Roman" w:eastAsia="Times New Roman" w:hAnsi="Times New Roman"/>
          <w:b w:val="false"/>
          <w:bCs w:val="false"/>
          <w:i w:val="false"/>
          <w:iCs w:val="false"/>
          <w:caps w:val="false"/>
          <w:sz w:val="20"/>
          <w:szCs w:val="20"/>
        </w:rPr>
        <w:t xml:space="preserve">_______________________________			_______________________________</w:t>
      </w:r>
    </w:p>
    <w:p>
      <w:pPr>
        <w:tabs>
          <w:tab w:val="left" w:pos="4333"/>
        </w:tabs>
        <w:spacing w:after="60" w:before="0" w:line="240" w:lineRule="auto"/>
      </w:pPr>
      <w:r>
        <w:rPr>
          <w:rFonts w:ascii="Times New Roman" w:cs="Times New Roman" w:eastAsia="Times New Roman" w:hAnsi="Times New Roman"/>
          <w:b w:val="false"/>
          <w:bCs w:val="false"/>
          <w:i w:val="false"/>
          <w:iCs w:val="false"/>
          <w:caps w:val="false"/>
          <w:sz w:val="20"/>
          <w:szCs w:val="20"/>
        </w:rPr>
        <w:t xml:space="preserve">WILBUR WILLIAM MATTHEE				Date: _____ May 2026</w:t>
      </w:r>
    </w:p>
    <w:p>
      <w:pPr>
        <w:spacing w:after="0" w:before="0" w:line="480" w:lineRule="auto"/>
        <w:jc w:val="both"/>
      </w:pPr>
      <w:r>
        <w:rPr>
          <w:rFonts w:ascii="Times New Roman" w:cs="Times New Roman" w:eastAsia="Times New Roman" w:hAnsi="Times New Roman"/>
          <w:b w:val="false"/>
          <w:bCs w:val="false"/>
          <w:i/>
          <w:iCs/>
          <w:caps w:val="false"/>
          <w:sz w:val="20"/>
          <w:szCs w:val="20"/>
        </w:rPr>
        <w:t xml:space="preserve">Respondent Acting in Person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space="4"/>
        </w:pBdr>
        <w:spacing w:after="120" w:before="120" w:line="480" w:lineRule="auto"/>
        <w:jc w:val="center"/>
      </w:pPr>
      <w:r>
        <w:rPr>
          <w:rFonts w:ascii="Times New Roman" w:cs="Times New Roman" w:eastAsia="Times New Roman" w:hAnsi="Times New Roman"/>
          <w:b/>
          <w:bCs/>
          <w:i w:val="false"/>
          <w:iCs w:val="false"/>
          <w:caps/>
          <w:sz w:val="24"/>
          <w:szCs w:val="24"/>
        </w:rPr>
        <w:t xml:space="preserve">DEPONENT'S CERTIFICATION</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I certify that the deponent has acknowledged that he knows and understands the contents of this affidavit, which was signed and sworn to before me at CAPE TOWN on this _____ day of MAY 2026, the regulations contained in Government Notice No. R1258 of 21 July 1972, as amended, having been complied with.</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COMMISSIONER OF OATHS</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p>
      <w:pPr>
        <w:tabs>
          <w:tab w:val="left" w:pos="1800"/>
        </w:tabs>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Full Names:	_______________________________</w:t>
      </w:r>
    </w:p>
    <w:p>
      <w:pPr>
        <w:tabs>
          <w:tab w:val="left" w:pos="1800"/>
        </w:tabs>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Designation:	_______________________________</w:t>
      </w:r>
    </w:p>
    <w:p>
      <w:pPr>
        <w:tabs>
          <w:tab w:val="left" w:pos="1800"/>
        </w:tabs>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Physical Address:	_______________________________</w:t>
      </w:r>
    </w:p>
    <w:p>
      <w:pPr>
        <w:spacing w:after="0" w:before="0" w:line="480" w:lineRule="auto"/>
        <w:jc w:val="both"/>
      </w:pPr>
      <w:r>
        <w:rPr>
          <w:rFonts w:ascii="Times New Roman" w:cs="Times New Roman" w:eastAsia="Times New Roman" w:hAnsi="Times New Roman"/>
          <w:b w:val="false"/>
          <w:bCs w:val="false"/>
          <w:i w:val="false"/>
          <w:iCs w:val="false"/>
          <w:caps w:val="false"/>
          <w:sz w:val="24"/>
          <w:szCs w:val="24"/>
        </w:rPr>
        <w:t xml:space="preserve"/>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8666"/>
      </w:tabs>
      <w:spacing w:after="0" w:line="240" w:lineRule="auto"/>
    </w:pPr>
    <w:r>
      <w:rPr>
        <w:rFonts w:ascii="Times New Roman" w:cs="Times New Roman" w:eastAsia="Times New Roman" w:hAnsi="Times New Roman"/>
        <w:b w:val="false"/>
        <w:bCs w:val="false"/>
        <w:i w:val="false"/>
        <w:iCs w:val="false"/>
        <w:caps w:val="false"/>
        <w:sz w:val="20"/>
        <w:szCs w:val="20"/>
      </w:rPr>
      <w:t xml:space="preserve">Case No: 2026-086906</w:t>
    </w:r>
    <w:r>
      <w:rPr>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2026-05-21T13:29:49.694Z</dcterms:created>
  <dcterms:modified xsi:type="dcterms:W3CDTF">2026-05-21T13:29:49.694Z</dcterms:modified>
</cp:coreProperties>
</file>

<file path=docProps/custom.xml><?xml version="1.0" encoding="utf-8"?>
<Properties xmlns="http://schemas.openxmlformats.org/officeDocument/2006/custom-properties" xmlns:vt="http://schemas.openxmlformats.org/officeDocument/2006/docPropsVTypes"/>
</file>