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none"/>
              <w:bottom w:val="single" w:color="B01010" w:sz="12"/>
              <w:right w:val="none"/>
            </w:tcBorders>
            <w:shd w:fill="0D1B2A" w:val="clear"/>
            <w:tcMar>
              <w:top w:type="dxa" w:w="400"/>
              <w:left w:type="dxa" w:w="400"/>
              <w:bottom w:type="dxa" w:w="400"/>
              <w:right w:type="dxa" w:w="400"/>
            </w:tcMar>
          </w:tcPr>
          <w:p>
            <w:pPr>
              <w:spacing w:after="80" w:before="0"/>
              <w:jc w:val="center"/>
            </w:pPr>
            <w:r>
              <w:rPr>
                <w:rFonts w:ascii="Arial" w:cs="Arial" w:eastAsia="Arial" w:hAnsi="Arial"/>
                <w:b/>
                <w:bCs/>
                <w:color w:val="B01010"/>
                <w:sz w:val="56"/>
                <w:szCs w:val="56"/>
              </w:rPr>
              <w:t xml:space="preserve">ETHICHAWKS</w:t>
            </w:r>
          </w:p>
          <w:p>
            <w:pPr>
              <w:spacing w:after="360" w:before="0"/>
              <w:jc w:val="center"/>
            </w:pPr>
            <w:r>
              <w:rPr>
                <w:rFonts w:ascii="Arial" w:cs="Arial" w:eastAsia="Arial" w:hAnsi="Arial"/>
                <w:color w:val="B0B0B0"/>
                <w:sz w:val="24"/>
                <w:szCs w:val="24"/>
              </w:rPr>
              <w:t xml:space="preserve">Forensic Governance &amp; Compliance Consultancy</w:t>
            </w:r>
          </w:p>
          <w:p>
            <w:pPr>
              <w:spacing w:after="160" w:before="0"/>
              <w:jc w:val="center"/>
            </w:pPr>
            <w:r>
              <w:rPr>
                <w:rFonts w:ascii="Arial" w:cs="Arial" w:eastAsia="Arial" w:hAnsi="Arial"/>
                <w:b/>
                <w:bCs/>
                <w:color w:val="FFFFFF"/>
                <w:sz w:val="40"/>
                <w:szCs w:val="40"/>
              </w:rPr>
              <w:t xml:space="preserve">CONSOLIDATED FORENSIC OVERSIGHT REPORT</w:t>
            </w:r>
          </w:p>
          <w:p>
            <w:pPr>
              <w:spacing w:after="320" w:before="0"/>
              <w:jc w:val="center"/>
            </w:pPr>
            <w:r>
              <w:rPr>
                <w:rFonts w:ascii="Arial" w:cs="Arial" w:eastAsia="Arial" w:hAnsi="Arial"/>
                <w:color w:val="F5D0D0"/>
                <w:sz w:val="23"/>
                <w:szCs w:val="23"/>
              </w:rPr>
              <w:t xml:space="preserve">Parliamentary Submission to the Honourable Speaker of the National Assembly</w:t>
            </w:r>
          </w:p>
          <w:p>
            <w:pPr>
              <w:jc w:val="center"/>
            </w:pPr>
            <w:r>
              <w:rPr>
                <w:rFonts w:ascii="Arial" w:cs="Arial" w:eastAsia="Arial" w:hAnsi="Arial"/>
                <w:b/>
                <w:bCs/>
                <w:color w:val="FFFFFF"/>
                <w:sz w:val="21"/>
                <w:szCs w:val="21"/>
              </w:rPr>
              <w:t xml:space="preserve">SUBJECT:  Systemic Regulatory Capture • Institutional Failure • Corporate Misrepresentation</w:t>
            </w:r>
          </w:p>
          <w:p>
            <w:pPr>
              <w:spacing w:after="320" w:before="0"/>
              <w:jc w:val="center"/>
            </w:pPr>
            <w:r>
              <w:rPr>
                <w:rFonts w:ascii="Arial" w:cs="Arial" w:eastAsia="Arial" w:hAnsi="Arial"/>
                <w:color w:val="C0C0C0"/>
                <w:sz w:val="21"/>
                <w:szCs w:val="21"/>
              </w:rPr>
              <w:t xml:space="preserve">Judicial Obstruction • Bad Faith Litigation • Chilling Effect on Whistleblowers</w:t>
            </w:r>
          </w:p>
          <w:p>
            <w:pPr>
              <w:jc w:val="center"/>
            </w:pPr>
            <w:r>
              <w:rPr>
                <w:rFonts w:ascii="Arial" w:cs="Arial" w:eastAsia="Arial" w:hAnsi="Arial"/>
                <w:b/>
                <w:bCs/>
                <w:color w:val="B01010"/>
                <w:sz w:val="20"/>
                <w:szCs w:val="20"/>
              </w:rPr>
              <w:t xml:space="preserve">Referred to:</w:t>
            </w:r>
          </w:p>
          <w:p>
            <w:pPr>
              <w:jc w:val="center"/>
            </w:pPr>
            <w:r>
              <w:rPr>
                <w:rFonts w:ascii="Arial" w:cs="Arial" w:eastAsia="Arial" w:hAnsi="Arial"/>
                <w:color w:val="B0B0B0"/>
                <w:sz w:val="19"/>
                <w:szCs w:val="19"/>
              </w:rPr>
              <w:t xml:space="preserve">Portfolio Committee on Health  |  Portfolio Committee on Employment &amp; Labour</w:t>
            </w:r>
          </w:p>
          <w:p>
            <w:pPr>
              <w:jc w:val="center"/>
            </w:pPr>
            <w:r>
              <w:rPr>
                <w:rFonts w:ascii="Arial" w:cs="Arial" w:eastAsia="Arial" w:hAnsi="Arial"/>
                <w:color w:val="B0B0B0"/>
                <w:sz w:val="19"/>
                <w:szCs w:val="19"/>
              </w:rPr>
              <w:t xml:space="preserve">Portfolio Committee on Trade, Industry &amp; Competition  |  Portfolio Committee on Justice &amp; Correctional Services</w:t>
            </w:r>
          </w:p>
          <w:p>
            <w:pPr>
              <w:spacing w:after="320" w:before="0"/>
              <w:jc w:val="center"/>
            </w:pPr>
            <w:r>
              <w:rPr>
                <w:rFonts w:ascii="Arial" w:cs="Arial" w:eastAsia="Arial" w:hAnsi="Arial"/>
                <w:color w:val="B0B0B0"/>
                <w:sz w:val="19"/>
                <w:szCs w:val="19"/>
              </w:rPr>
              <w:t xml:space="preserve">Standing Committee on Public Accounts (SCOPA)  |  Portfolio Committee on Police</w:t>
            </w:r>
          </w:p>
          <w:p>
            <w:pPr>
              <w:jc w:val="center"/>
            </w:pPr>
            <w:r>
              <w:rPr>
                <w:rFonts w:ascii="Arial" w:cs="Arial" w:eastAsia="Arial" w:hAnsi="Arial"/>
                <w:color w:val="909090"/>
                <w:sz w:val="19"/>
                <w:szCs w:val="19"/>
              </w:rPr>
              <w:t xml:space="preserve">Compiled by:  Sr. Wilbur William Matthee  |  RN | BTech General Nursing | PGDip Health Services Management (NQF 8)</w:t>
            </w:r>
          </w:p>
          <w:p>
            <w:pPr>
              <w:spacing w:after="280" w:before="0"/>
              <w:jc w:val="center"/>
            </w:pPr>
            <w:r>
              <w:rPr>
                <w:rFonts w:ascii="Arial" w:cs="Arial" w:eastAsia="Arial" w:hAnsi="Arial"/>
                <w:color w:val="909090"/>
                <w:sz w:val="19"/>
                <w:szCs w:val="19"/>
              </w:rPr>
              <w:t xml:space="preserve">Founder — EthicHawks Forensic Governance &amp; Compliance Consultancy  |  Cape Town, June 2026</w:t>
            </w:r>
          </w:p>
          <w:p>
            <w:pPr>
              <w:jc w:val="center"/>
            </w:pPr>
            <w:r>
              <w:rPr>
                <w:rFonts w:ascii="Arial" w:cs="Arial" w:eastAsia="Arial" w:hAnsi="Arial"/>
                <w:color w:val="F5D0D0"/>
                <w:sz w:val="21"/>
                <w:szCs w:val="21"/>
              </w:rPr>
              <w:t xml:space="preserve">“The house is not yet burning. But the fire alarm has been ringing for over a year.”</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CONFLICT OF INTEREST DECLARATION AND ETHICAL STATEMENT</w:t>
      </w:r>
    </w:p>
    <w:p>
      <w:pPr>
        <w:spacing w:after="80" w:before="80"/>
      </w:pPr>
      <w:r>
        <w:t xml:space="preserve"/>
      </w:r>
    </w:p>
    <w:p>
      <w:pPr>
        <w:spacing w:after="80" w:before="80" w:line="276" w:lineRule="auto"/>
        <w:ind/>
      </w:pPr>
      <w:r>
        <w:rPr>
          <w:rFonts w:ascii="Arial" w:cs="Arial" w:eastAsia="Arial" w:hAnsi="Arial"/>
          <w:b/>
          <w:bCs/>
          <w:color w:val="2B2D42"/>
          <w:sz w:val="22"/>
          <w:szCs w:val="22"/>
        </w:rPr>
        <w:t xml:space="preserve">Honourable Speaker and Portfolio Committees,</w:t>
      </w:r>
    </w:p>
    <w:p>
      <w:pPr>
        <w:spacing w:after="60" w:before="60"/>
      </w:pPr>
      <w:r>
        <w:t xml:space="preserve"/>
      </w:r>
    </w:p>
    <w:p>
      <w:pPr>
        <w:spacing w:after="80" w:before="80" w:line="276" w:lineRule="auto"/>
        <w:ind/>
      </w:pPr>
      <w:r>
        <w:rPr>
          <w:rFonts w:ascii="Arial" w:cs="Arial" w:eastAsia="Arial" w:hAnsi="Arial"/>
          <w:b w:val="false"/>
          <w:bCs w:val="false"/>
          <w:color w:val="2B2D42"/>
          <w:sz w:val="22"/>
          <w:szCs w:val="22"/>
        </w:rPr>
        <w:t xml:space="preserve">This report is submitted in the public interest by a whistleblower who has suffered severe occupational detriment, destitution, and homelessness as a direct consequence of the conduct documented herein. The author and complainant, Sr. Wilbur William Matthee, makes the following declarations in the spirit of full transparency required by the Constitution, the Protected Disclosures Act 26 of 2000 (PDA), and the ethical codes of the compliance and nursing professions.</w:t>
      </w:r>
    </w:p>
    <w:p>
      <w:pPr>
        <w:pBdr>
          <w:bottom w:val="single" w:color="B01010" w:sz="6" w:space="2"/>
        </w:pBdr>
        <w:spacing w:after="100" w:before="280"/>
      </w:pPr>
      <w:r>
        <w:rPr>
          <w:rFonts w:ascii="Arial" w:cs="Arial" w:eastAsia="Arial" w:hAnsi="Arial"/>
          <w:b/>
          <w:bCs/>
          <w:color w:val="B01010"/>
          <w:sz w:val="28"/>
          <w:szCs w:val="28"/>
        </w:rPr>
        <w:t xml:space="preserve">1.  Identity of the Complainant and Author</w:t>
      </w:r>
    </w:p>
    <w:p>
      <w:pPr>
        <w:spacing w:after="80" w:before="80" w:line="276" w:lineRule="auto"/>
        <w:ind/>
      </w:pPr>
      <w:r>
        <w:rPr>
          <w:rFonts w:ascii="Arial" w:cs="Arial" w:eastAsia="Arial" w:hAnsi="Arial"/>
          <w:b w:val="false"/>
          <w:bCs w:val="false"/>
          <w:color w:val="2B2D42"/>
          <w:sz w:val="22"/>
          <w:szCs w:val="22"/>
        </w:rPr>
        <w:t xml:space="preserve">The complainant and author of this report are the same person: Wilbur William Matthee, a Specialist Registered Nurse (SANC No. 15831886), holder of a Postgraduate Diploma in Health Services Management (NQF Level 8), and the founder of EthicHawks Forensic Governance and Compliance Consultancy. He appears before Parliament self-represented and destitute, because the employer's unlawful salary deduction and the failures of every regulator he approached have left him without the resources to retain counsel.</w:t>
      </w:r>
    </w:p>
    <w:p>
      <w:pPr>
        <w:spacing w:after="80" w:before="80" w:line="276" w:lineRule="auto"/>
        <w:ind/>
      </w:pPr>
      <w:r>
        <w:rPr>
          <w:rFonts w:ascii="Arial" w:cs="Arial" w:eastAsia="Arial" w:hAnsi="Arial"/>
          <w:b w:val="false"/>
          <w:bCs w:val="false"/>
          <w:color w:val="2B2D42"/>
          <w:sz w:val="22"/>
          <w:szCs w:val="22"/>
        </w:rPr>
        <w:t xml:space="preserve">This is not a third-party report. It is a primary source testimony from the person who lived every failure documented herein.</w:t>
      </w:r>
    </w:p>
    <w:p>
      <w:pPr>
        <w:pBdr>
          <w:bottom w:val="single" w:color="B01010" w:sz="6" w:space="2"/>
        </w:pBdr>
        <w:spacing w:after="100" w:before="280"/>
      </w:pPr>
      <w:r>
        <w:rPr>
          <w:rFonts w:ascii="Arial" w:cs="Arial" w:eastAsia="Arial" w:hAnsi="Arial"/>
          <w:b/>
          <w:bCs/>
          <w:color w:val="B01010"/>
          <w:sz w:val="28"/>
          <w:szCs w:val="28"/>
        </w:rPr>
        <w:t xml:space="preserve">2.  Nature of the Interest — Personal and Professional</w:t>
      </w:r>
    </w:p>
    <w:p>
      <w:pPr>
        <w:spacing w:after="80" w:before="80" w:line="276" w:lineRule="auto"/>
        <w:ind/>
      </w:pPr>
      <w:r>
        <w:rPr>
          <w:rFonts w:ascii="Arial" w:cs="Arial" w:eastAsia="Arial" w:hAnsi="Arial"/>
          <w:b w:val="false"/>
          <w:bCs w:val="false"/>
          <w:color w:val="2B2D42"/>
          <w:sz w:val="22"/>
          <w:szCs w:val="22"/>
        </w:rPr>
        <w:t xml:space="preserve">The complainant has a direct personal and financial interest in the remedies sought in this report, including: the repayment of the unlawfully deducted salary of R14,811.77 (plus interest); compensation for occupational detriment under the Protected Disclosures Act; compensation for automatically unfair constructive dismissal; the correction of his statutory employment records (UI-19, Certificate of Service); and the remediation of the systemic clinical risk affecting GEMS members. This interest is fully declared and not concealed.</w:t>
      </w:r>
    </w:p>
    <w:p>
      <w:pPr>
        <w:spacing w:after="80" w:before="80" w:line="276" w:lineRule="auto"/>
        <w:ind/>
      </w:pPr>
      <w:r>
        <w:rPr>
          <w:rFonts w:ascii="Arial" w:cs="Arial" w:eastAsia="Arial" w:hAnsi="Arial"/>
          <w:b w:val="false"/>
          <w:bCs w:val="false"/>
          <w:color w:val="2B2D42"/>
          <w:sz w:val="22"/>
          <w:szCs w:val="22"/>
        </w:rPr>
        <w:t xml:space="preserve">The personal interest does not diminish the public interest. The two coexist. A whistleblower who has been destroyed by a system is not disqualified from asking Parliament to fix that system. Section 56 of the Constitution guarantees the right of any citizen to petition Parliament. That right is not conditional on the petitioner having no personal stake in the subject matter.</w:t>
      </w:r>
    </w:p>
    <w:p>
      <w:pPr>
        <w:pBdr>
          <w:bottom w:val="single" w:color="B01010" w:sz="6" w:space="2"/>
        </w:pBdr>
        <w:spacing w:after="100" w:before="280"/>
      </w:pPr>
      <w:r>
        <w:rPr>
          <w:rFonts w:ascii="Arial" w:cs="Arial" w:eastAsia="Arial" w:hAnsi="Arial"/>
          <w:b/>
          <w:bCs/>
          <w:color w:val="B01010"/>
          <w:sz w:val="28"/>
          <w:szCs w:val="28"/>
        </w:rPr>
        <w:t xml:space="preserve">3.  Professional and Ethical Framework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Framework / Body</w:t>
            </w:r>
          </w:p>
        </w:tc>
        <w:tc>
          <w:tcPr>
            <w:tcW w:type="dxa" w:w="61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Status and Relevance</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South African Nursing Council (SANC)</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Registered Nurse Specialist — currently deregistered due to inability to pay R870 annual fees, caused directly by the employer’s unlawful deduction. The deregistration is itself evidence of the harm suffered.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Compliance Institute of Southern Africa (CISA)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Pledged to Code of Ethical and Professional Conduct; membership designation CPrAc(SA) — pending final certification modules. Commitment to independence, objectivity, and confidentiality informs this report.</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Protected Disclosures Act 26 of 2000</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The complainant is a protected whistleblower. This report is itself a protected disclosure under Section 8 of the PDA — a disclosure to Parliament as an appropriate authority.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Constitution of the Republic, 1996</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The complainant invokes Sections 10, 26, 27, 33, 34, and 56. This report is a petition under Section 56 (right to petition Parliament).</w:t>
            </w:r>
          </w:p>
        </w:tc>
      </w:tr>
    </w:tbl>
    <w:p>
      <w:pPr>
        <w:pBdr>
          <w:bottom w:val="single" w:color="B01010" w:sz="6" w:space="2"/>
        </w:pBdr>
        <w:spacing w:after="100" w:before="280"/>
      </w:pPr>
      <w:r>
        <w:rPr>
          <w:rFonts w:ascii="Arial" w:cs="Arial" w:eastAsia="Arial" w:hAnsi="Arial"/>
          <w:b/>
          <w:bCs/>
          <w:color w:val="B01010"/>
          <w:sz w:val="28"/>
          <w:szCs w:val="28"/>
        </w:rPr>
        <w:t xml:space="preserve">4.  EthicHawks — The Consultancy</w:t>
      </w:r>
    </w:p>
    <w:p>
      <w:pPr>
        <w:spacing w:after="80" w:before="80" w:line="276" w:lineRule="auto"/>
        <w:ind/>
      </w:pPr>
      <w:r>
        <w:rPr>
          <w:rFonts w:ascii="Arial" w:cs="Arial" w:eastAsia="Arial" w:hAnsi="Arial"/>
          <w:b w:val="false"/>
          <w:bCs w:val="false"/>
          <w:color w:val="2B2D42"/>
          <w:sz w:val="22"/>
          <w:szCs w:val="22"/>
        </w:rPr>
        <w:t xml:space="preserve">EthicHawks Forensic Governance and Compliance Consultancy is not a party to this report as a commercial entity. No third party has commissioned, funded, or influenced this report. EthicHawks is not receiving any payment. The consultancy is the vehicle through which the complainant conducts forensic governance analysis. There is no ongoing commercial relationship with any party mentioned in this report, and no current or pending contracts with the NHI Fund, the Department of Health, or any regulatory body mentioned. If Parliament were to adopt any governance architecture proposals contained in this report, the complainant would be in the same position as any other compliance professional who might offer services in a competitive process. That is a professional opinion submitted in the public interest, not a conflict.</w:t>
      </w:r>
    </w:p>
    <w:p>
      <w:pPr>
        <w:pBdr>
          <w:bottom w:val="single" w:color="B01010" w:sz="6" w:space="2"/>
        </w:pBdr>
        <w:spacing w:after="100" w:before="280"/>
      </w:pPr>
      <w:r>
        <w:rPr>
          <w:rFonts w:ascii="Arial" w:cs="Arial" w:eastAsia="Arial" w:hAnsi="Arial"/>
          <w:b/>
          <w:bCs/>
          <w:color w:val="B01010"/>
          <w:sz w:val="28"/>
          <w:szCs w:val="28"/>
        </w:rPr>
        <w:t xml:space="preserve">5.  Why the Employer Cannot Discredit This Report Through This Declaration</w:t>
      </w:r>
    </w:p>
    <w:p>
      <w:pPr>
        <w:spacing w:after="80" w:before="80" w:line="276" w:lineRule="auto"/>
        <w:ind/>
      </w:pPr>
      <w:r>
        <w:rPr>
          <w:rFonts w:ascii="Arial" w:cs="Arial" w:eastAsia="Arial" w:hAnsi="Arial"/>
          <w:b w:val="false"/>
          <w:bCs w:val="false"/>
          <w:color w:val="2B2D42"/>
          <w:sz w:val="22"/>
          <w:szCs w:val="22"/>
        </w:rPr>
        <w:t xml:space="preserve">The complainant anticipates that the employer and its legal representatives (Deneys Reitz Inc.) will attempt to use this declaration to discredit the report. That attempt fails for four reasons.</w:t>
      </w:r>
    </w:p>
    <w:p>
      <w:pPr>
        <w:spacing w:after="80" w:before="80" w:line="276" w:lineRule="auto"/>
        <w:ind/>
      </w:pPr>
      <w:r>
        <w:rPr>
          <w:rFonts w:ascii="Arial" w:cs="Arial" w:eastAsia="Arial" w:hAnsi="Arial"/>
          <w:b w:val="false"/>
          <w:bCs w:val="false"/>
          <w:color w:val="2B2D42"/>
          <w:sz w:val="22"/>
          <w:szCs w:val="22"/>
        </w:rPr>
        <w:t xml:space="preserve">First, no one else has done this work. The complainant has compiled a 526-document evidentiary bundle because no regulator, no court, and no law firm has done so. The absence of any other party with the resources, access, or incentive to compile this record is itself evidence of systemic failure.</w:t>
      </w:r>
    </w:p>
    <w:p>
      <w:pPr>
        <w:spacing w:after="80" w:before="80" w:line="276" w:lineRule="auto"/>
        <w:ind/>
      </w:pPr>
      <w:r>
        <w:rPr>
          <w:rFonts w:ascii="Arial" w:cs="Arial" w:eastAsia="Arial" w:hAnsi="Arial"/>
          <w:b w:val="false"/>
          <w:bCs w:val="false"/>
          <w:color w:val="2B2D42"/>
          <w:sz w:val="22"/>
          <w:szCs w:val="22"/>
        </w:rPr>
        <w:t xml:space="preserve">Second, the documentary record speaks for itself. The Root Cause Analysis was generated by Medscheme’s own systems. The payslip was generated by Medscheme’s own payroll. The CRO suppression email was written by the employer’s own Chief Risk Officer. The false UI-19 was submitted by the employer’s own HR official. These documents are not the complainant’s opinion. They are the employer’s own records.</w:t>
      </w:r>
    </w:p>
    <w:p>
      <w:pPr>
        <w:spacing w:after="80" w:before="80" w:line="276" w:lineRule="auto"/>
        <w:ind/>
      </w:pPr>
      <w:r>
        <w:rPr>
          <w:rFonts w:ascii="Arial" w:cs="Arial" w:eastAsia="Arial" w:hAnsi="Arial"/>
          <w:b w:val="false"/>
          <w:bCs w:val="false"/>
          <w:color w:val="2B2D42"/>
          <w:sz w:val="22"/>
          <w:szCs w:val="22"/>
        </w:rPr>
        <w:t xml:space="preserve">Third, the complainant’s destitution is not a conflict — it is a consequence of the conduct documented. A destitute whistleblower is not less credible. He is more credible, because he has nothing to gain from fabrication and everything to lose from continued destitution.</w:t>
      </w:r>
    </w:p>
    <w:p>
      <w:pPr>
        <w:spacing w:after="80" w:before="80" w:line="276" w:lineRule="auto"/>
        <w:ind/>
      </w:pPr>
      <w:r>
        <w:rPr>
          <w:rFonts w:ascii="Arial" w:cs="Arial" w:eastAsia="Arial" w:hAnsi="Arial"/>
          <w:b w:val="false"/>
          <w:bCs w:val="false"/>
          <w:color w:val="2B2D42"/>
          <w:sz w:val="22"/>
          <w:szCs w:val="22"/>
        </w:rPr>
        <w:t xml:space="preserve">Fourth, the complainant has invited independent verification of every fact. The full evidentiary bundle is available to any Portfolio Committee, parliamentary legal officer, or independent forensic investigator appointed by Parliament.</w:t>
      </w:r>
    </w:p>
    <w:p>
      <w:pPr>
        <w:pBdr>
          <w:bottom w:val="single" w:color="B01010" w:sz="6" w:space="2"/>
        </w:pBdr>
        <w:spacing w:after="100" w:before="280"/>
      </w:pPr>
      <w:r>
        <w:rPr>
          <w:rFonts w:ascii="Arial" w:cs="Arial" w:eastAsia="Arial" w:hAnsi="Arial"/>
          <w:b/>
          <w:bCs/>
          <w:color w:val="B01010"/>
          <w:sz w:val="28"/>
          <w:szCs w:val="28"/>
        </w:rPr>
        <w:t xml:space="preserve">6.  The Public Interest Overrides Any Private Interest</w:t>
      </w:r>
    </w:p>
    <w:p>
      <w:pPr>
        <w:spacing w:after="80" w:before="80" w:line="276" w:lineRule="auto"/>
        <w:ind/>
      </w:pPr>
      <w:r>
        <w:rPr>
          <w:rFonts w:ascii="Arial" w:cs="Arial" w:eastAsia="Arial" w:hAnsi="Arial"/>
          <w:b w:val="false"/>
          <w:bCs w:val="false"/>
          <w:color w:val="2B2D42"/>
          <w:sz w:val="22"/>
          <w:szCs w:val="22"/>
        </w:rPr>
        <w:t xml:space="preserve">The public interest in this report is overwhelming. A systemic clinical risk affecting 1.9 million GEMS members remains unaddressed. Fifteen statutory, regulatory, and judicial bodies have failed to provide a remedy. The National Health Insurance Act — with a projected budget exceeding R200 billion annually — is being built on governance architecture that this case proves is broken. The chilling effect on whistleblowers is already real and will be magnified under the NHI. The complainant’s personal claim for damages (R14,811.77 plus interest) is less than 0.00007% of the NHI’s annual budget. This report is about the systemic collapse of accountability that enabled that deduction without consequence.</w:t>
      </w:r>
    </w:p>
    <w:p>
      <w:pPr>
        <w:pBdr>
          <w:bottom w:val="single" w:color="B01010" w:sz="6" w:space="2"/>
        </w:pBdr>
        <w:spacing w:after="100" w:before="280"/>
      </w:pPr>
      <w:r>
        <w:rPr>
          <w:rFonts w:ascii="Arial" w:cs="Arial" w:eastAsia="Arial" w:hAnsi="Arial"/>
          <w:b/>
          <w:bCs/>
          <w:color w:val="B01010"/>
          <w:sz w:val="28"/>
          <w:szCs w:val="28"/>
        </w:rPr>
        <w:t xml:space="preserve">7.  Declaration Under Oath</w:t>
      </w:r>
    </w:p>
    <w:p>
      <w:pPr>
        <w:spacing w:after="80" w:before="80" w:line="276" w:lineRule="auto"/>
        <w:ind/>
      </w:pPr>
      <w:r>
        <w:rPr>
          <w:rFonts w:ascii="Arial" w:cs="Arial" w:eastAsia="Arial" w:hAnsi="Arial"/>
          <w:b w:val="false"/>
          <w:bCs w:val="false"/>
          <w:color w:val="2B2D42"/>
          <w:sz w:val="22"/>
          <w:szCs w:val="22"/>
        </w:rPr>
        <w:t xml:space="preserve">I, Wilbur William Matthee, declare under oath that the facts set out in this report are true and correct to the best of my knowledge and belief, supported by primary source documents referenced throughout; that I have a direct personal and financial interest in the remedies sought, which is fully declared; that the public interest in the systemic failures documented herein is distinct from and outweighs any private interest; that no third party has commissioned, funded, or influenced this report; that I have not been induced to make this report by any person or entity; and that I am aware that making false statements in a submission to Parliament may be a criminal offence, and I have not made any false statements.</w:t>
      </w:r>
    </w:p>
    <w:p>
      <w:pPr>
        <w:spacing w:after="120" w:before="120"/>
      </w:pPr>
      <w:r>
        <w:t xml:space="preserve"/>
      </w:r>
    </w:p>
    <w:p>
      <w:pPr>
        <w:spacing w:after="80" w:before="160"/>
      </w:pPr>
      <w:r>
        <w:rPr>
          <w:rFonts w:ascii="Arial" w:cs="Arial" w:eastAsia="Arial" w:hAnsi="Arial"/>
          <w:color w:val="2B2D42"/>
          <w:sz w:val="22"/>
          <w:szCs w:val="22"/>
        </w:rPr>
        <w:t xml:space="preserve">Signed at Cape Town on this ______ day of June 2026.</w:t>
      </w:r>
    </w:p>
    <w:p>
      <w:pPr>
        <w:spacing w:after="40" w:before="200"/>
      </w:pPr>
      <w:r>
        <w:rPr>
          <w:rFonts w:ascii="Arial" w:cs="Arial" w:eastAsia="Arial" w:hAnsi="Arial"/>
          <w:b/>
          <w:bCs/>
          <w:color w:val="0D1B2A"/>
          <w:sz w:val="22"/>
          <w:szCs w:val="22"/>
        </w:rPr>
        <w:t xml:space="preserve">Wilbur William Matthee</w:t>
      </w:r>
    </w:p>
    <w:p>
      <w:pPr>
        <w:spacing w:after="40" w:before="0"/>
      </w:pPr>
      <w:r>
        <w:rPr>
          <w:rFonts w:ascii="Arial" w:cs="Arial" w:eastAsia="Arial" w:hAnsi="Arial"/>
          <w:color w:val="4A4A5A"/>
          <w:sz w:val="19"/>
          <w:szCs w:val="19"/>
        </w:rPr>
        <w:t xml:space="preserve">RN | BTech General Nursing | PGDip Health Services Management (NQF 8)  |  Founder — EthicHawks Forensic Governance &amp; Compliance Consultancy</w:t>
      </w:r>
    </w:p>
    <w:p>
      <w:pPr>
        <w:spacing w:after="200" w:before="0"/>
      </w:pPr>
      <w:r>
        <w:rPr>
          <w:rFonts w:ascii="Arial" w:cs="Arial" w:eastAsia="Arial" w:hAnsi="Arial"/>
          <w:color w:val="4A4A5A"/>
          <w:sz w:val="19"/>
          <w:szCs w:val="19"/>
        </w:rPr>
        <w:t xml:space="preserve">CPrAc(SA) — pending  |  info@ethichawks.co.za  |  069 635 1435</w:t>
      </w:r>
    </w:p>
    <w:p>
      <w:r>
        <w:br w:type="page"/>
      </w:r>
    </w:p>
    <w:p>
      <w:pPr>
        <w:shd w:fill="0D1B2A" w:val="clear"/>
        <w:spacing w:after="200" w:before="400"/>
        <w:ind w:left="200" w:right="200"/>
      </w:pPr>
      <w:r>
        <w:rPr>
          <w:rFonts w:ascii="Arial" w:cs="Arial" w:eastAsia="Arial" w:hAnsi="Arial"/>
          <w:b/>
          <w:bCs/>
          <w:color w:val="FFFFFF"/>
          <w:sz w:val="34"/>
          <w:szCs w:val="34"/>
        </w:rPr>
        <w:t xml:space="preserve">FOREWORD: THE NHI WILL BE BUILT ON THE BONES OF THIS WHISTLEBLOWER</w:t>
      </w:r>
    </w:p>
    <w:p>
      <w:pPr>
        <w:spacing w:after="80" w:before="80"/>
      </w:pPr>
      <w:r>
        <w:t xml:space="preserve"/>
      </w:r>
    </w:p>
    <w:p>
      <w:pPr>
        <w:spacing w:after="80" w:before="80" w:line="276" w:lineRule="auto"/>
        <w:ind/>
      </w:pPr>
      <w:r>
        <w:rPr>
          <w:rFonts w:ascii="Arial" w:cs="Arial" w:eastAsia="Arial" w:hAnsi="Arial"/>
          <w:b/>
          <w:bCs/>
          <w:color w:val="0D1B2A"/>
          <w:sz w:val="22"/>
          <w:szCs w:val="22"/>
        </w:rPr>
        <w:t xml:space="preserve">I.  THE PROMISE THAT CANNOT SURVIVE THE SYSTEM WE HAVE</w:t>
      </w:r>
    </w:p>
    <w:p>
      <w:pPr>
        <w:pBdr>
          <w:bottom w:val="single" w:color="B01010" w:sz="10" w:space="1"/>
        </w:pBdr>
        <w:spacing w:after="160" w:before="160"/>
      </w:pPr>
      <w:r>
        <w:t xml:space="preserve"/>
      </w:r>
    </w:p>
    <w:p>
      <w:pPr>
        <w:spacing w:after="80" w:before="80" w:line="276" w:lineRule="auto"/>
        <w:ind/>
      </w:pPr>
      <w:r>
        <w:rPr>
          <w:rFonts w:ascii="Arial" w:cs="Arial" w:eastAsia="Arial" w:hAnsi="Arial"/>
          <w:b w:val="false"/>
          <w:bCs w:val="false"/>
          <w:color w:val="2B2D42"/>
          <w:sz w:val="22"/>
          <w:szCs w:val="22"/>
        </w:rPr>
        <w:t xml:space="preserve">The National Health Insurance Act 20 of 2023 is anchored in an unambiguous constitutional promise. Section 27 of the Constitution guarantees every person the right of access to health care services. The NHI is designed to be the instrument of that promise — a single purchaser and single payer, pooling risk across more than 60 million people, managing a budget conservatively projected to exceed R200 billion annually.</w:t>
      </w:r>
    </w:p>
    <w:p>
      <w:pPr>
        <w:spacing w:after="80" w:before="80" w:line="276" w:lineRule="auto"/>
        <w:ind/>
      </w:pPr>
      <w:r>
        <w:rPr>
          <w:rFonts w:ascii="Arial" w:cs="Arial" w:eastAsia="Arial" w:hAnsi="Arial"/>
          <w:b w:val="false"/>
          <w:bCs w:val="false"/>
          <w:color w:val="2B2D42"/>
          <w:sz w:val="22"/>
          <w:szCs w:val="22"/>
        </w:rPr>
        <w:t xml:space="preserve">But here is the truth that no government report, no actuarial model, and no parliamentary briefing has yet confronted:</w:t>
      </w:r>
    </w:p>
    <w:p>
      <w:pPr>
        <w:pBdr>
          <w:left w:val="single" w:color="B01010" w:sz="12" w:space="8"/>
        </w:pBdr>
        <w:spacing w:after="120" w:before="120"/>
        <w:ind w:left="720" w:right="360"/>
      </w:pPr>
      <w:r>
        <w:rPr>
          <w:rFonts w:ascii="Arial" w:cs="Arial" w:eastAsia="Arial" w:hAnsi="Arial"/>
          <w:color w:val="2B2D42"/>
          <w:sz w:val="21"/>
          <w:szCs w:val="21"/>
        </w:rPr>
        <w:t xml:space="preserve">The NHI will not fail because of a lack of money, or a lack of political will, or a lack of clinical capacity. The NHI will fail because the institutional architecture that is supposed to protect it from capture, corruption, and collapse is already broken — and we have done nothing to fix it.</w:t>
      </w:r>
    </w:p>
    <w:p>
      <w:pPr>
        <w:spacing w:after="80" w:before="80" w:line="276" w:lineRule="auto"/>
        <w:ind/>
      </w:pPr>
      <w:r>
        <w:rPr>
          <w:rFonts w:ascii="Arial" w:cs="Arial" w:eastAsia="Arial" w:hAnsi="Arial"/>
          <w:b w:val="false"/>
          <w:bCs w:val="false"/>
          <w:color w:val="2B2D42"/>
          <w:sz w:val="22"/>
          <w:szCs w:val="22"/>
        </w:rPr>
        <w:t xml:space="preserve">This forensic report documents a single whistleblower — a specialist registered nurse employed by Medscheme Holdings, the accredited administrator for the Government Employees Medical Scheme (GEMS), which serves 1.9 million public servants. He identified a systemic clinical risk in the form of a structural integration failure between the Gexus and DMS platforms. The gap generated false non-adherence letters to chronic patients, including a 75-year-old widow who received automated communications telling her she had not collected medication she had in fact collected every month without fail. He refused to use that flawed data to interrogate an elderly patient. He made a protected disclosure under the PDA. That refusal, and that disclosure, triggered a cascade of retaliation that this report documents across fifteen statutory, regulatory, and judicial bodies — not one of which provided a remedy.</w:t>
      </w:r>
    </w:p>
    <w:p>
      <w:pPr>
        <w:spacing w:after="80" w:before="80" w:line="276" w:lineRule="auto"/>
        <w:ind/>
      </w:pPr>
      <w:r>
        <w:rPr>
          <w:rFonts w:ascii="Arial" w:cs="Arial" w:eastAsia="Arial" w:hAnsi="Arial"/>
          <w:b w:val="false"/>
          <w:bCs w:val="false"/>
          <w:color w:val="2B2D42"/>
          <w:sz w:val="22"/>
          <w:szCs w:val="22"/>
        </w:rPr>
        <w:t xml:space="preserve">He then approached every regulator that will oversee the NHI — the CMS, the HPCSA, SANC, the SAPC, the DEL, the B-BBEE Commission, the SAHRC, the SAPS, the CCMA, the JSE, the FSCA, and the courts. Almost every single one declined jurisdiction, remained silent, or actively obstructed him.</w:t>
      </w:r>
    </w:p>
    <w:p>
      <w:pPr>
        <w:spacing w:after="80" w:before="80" w:line="276" w:lineRule="auto"/>
        <w:ind/>
      </w:pPr>
      <w:r>
        <w:rPr>
          <w:rFonts w:ascii="Arial" w:cs="Arial" w:eastAsia="Arial" w:hAnsi="Arial"/>
          <w:b w:val="false"/>
          <w:bCs w:val="false"/>
          <w:color w:val="2B2D42"/>
          <w:sz w:val="22"/>
          <w:szCs w:val="22"/>
        </w:rPr>
        <w:t xml:space="preserve">If this is how the existing system treats a whistleblower who exposed a clinical risk in an administrator servicing a government medical scheme, what will happen when the NHI Fund — with its R200 billion annual budget, its single-purchaser monopoly, its accreditation bottleneck, its one-sentence fraud architecture, and its undefined investigation unit — becomes operational? The answer is not speculation. It is forensic prediction.</w:t>
      </w:r>
    </w:p>
    <w:p>
      <w:pPr>
        <w:spacing w:after="80" w:before="80"/>
      </w:pPr>
      <w:r>
        <w:t xml:space="preserve"/>
      </w:r>
    </w:p>
    <w:p>
      <w:pPr>
        <w:spacing w:after="80" w:before="80" w:line="276" w:lineRule="auto"/>
        <w:ind/>
      </w:pPr>
      <w:r>
        <w:rPr>
          <w:rFonts w:ascii="Arial" w:cs="Arial" w:eastAsia="Arial" w:hAnsi="Arial"/>
          <w:b/>
          <w:bCs/>
          <w:color w:val="0D1B2A"/>
          <w:sz w:val="22"/>
          <w:szCs w:val="22"/>
        </w:rPr>
        <w:t xml:space="preserve">II.  THE THREE STRUCTURAL GAPS — ALREADY VISIBLE, ALREADY DESTRUCTIVE</w:t>
      </w:r>
    </w:p>
    <w:p>
      <w:pPr>
        <w:pBdr>
          <w:bottom w:val="single" w:color="B01010" w:sz="10" w:space="1"/>
        </w:pBdr>
        <w:spacing w:after="160" w:before="160"/>
      </w:pPr>
      <w:r>
        <w:t xml:space="preserve"/>
      </w:r>
    </w:p>
    <w:p>
      <w:pPr>
        <w:spacing w:after="80" w:before="80" w:line="276" w:lineRule="auto"/>
        <w:ind/>
      </w:pPr>
      <w:r>
        <w:rPr>
          <w:rFonts w:ascii="Arial" w:cs="Arial" w:eastAsia="Arial" w:hAnsi="Arial"/>
          <w:b w:val="false"/>
          <w:bCs w:val="false"/>
          <w:color w:val="2B2D42"/>
          <w:sz w:val="22"/>
          <w:szCs w:val="22"/>
        </w:rPr>
        <w:t xml:space="preserve">The National Health Insurance Act contains three structural vulnerabilities that governance experts have warned about since its enactment. This report does not merely identify them in the abstract. It proves they are already destroying lives in the existing system — and therefore will be catastrophic under the NHI.</w:t>
      </w:r>
    </w:p>
    <w:p>
      <w:pPr>
        <w:spacing w:after="60" w:before="60"/>
      </w:pPr>
      <w:r>
        <w:t xml:space="preserve"/>
      </w:r>
    </w:p>
    <w:p>
      <w:pPr>
        <w:spacing w:after="80" w:before="200"/>
      </w:pPr>
      <w:r>
        <w:rPr>
          <w:rFonts w:ascii="Arial" w:cs="Arial" w:eastAsia="Arial" w:hAnsi="Arial"/>
          <w:b/>
          <w:bCs/>
          <w:color w:val="2B2D42"/>
          <w:sz w:val="24"/>
          <w:szCs w:val="24"/>
        </w:rPr>
        <w:t xml:space="preserve">Gap One: The Accreditation Bottleneck (NHI Act Section 39)</w:t>
      </w:r>
    </w:p>
    <w:p>
      <w:pPr>
        <w:spacing w:after="80" w:before="80" w:line="276" w:lineRule="auto"/>
        <w:ind/>
      </w:pPr>
      <w:r>
        <w:rPr>
          <w:rFonts w:ascii="Arial" w:cs="Arial" w:eastAsia="Arial" w:hAnsi="Arial"/>
          <w:b w:val="false"/>
          <w:bCs w:val="false"/>
          <w:color w:val="2B2D42"/>
          <w:sz w:val="22"/>
          <w:szCs w:val="22"/>
        </w:rPr>
        <w:t xml:space="preserve">The Act provides that no provider may be reimbursed by the Fund unless accredited, with certification by the Office of Health Standards Compliance — an institution already documented by the Auditor-General as capacity-constrained. What the whistleblower’s case proves is that the same dynamic will infect NHI accreditation. The B-BBEE fronting complaint (Case 5/02/2026) reveals a corporate strategy of title suppression — using a Black NQF Level 8 professional’s credentials for scorecard points while downgrading his official title on statutory documents to avoid paying for his expertise. When financial pressure meets an accreditation bottleneck, the predictable outcome is ghost accreditation (certification without genuine compliance assessment) and fronting. The institution that failed here — the B-BBEE Commission — is the same institution that will oversee NHI procurement fronting. It declined to investigate, refused to use its Section 13K subpoena powers, and treated fronting as a labour dispute — an error of law that will be repeated when NHI accreditation fronting is reported.</w:t>
      </w:r>
    </w:p>
    <w:p>
      <w:pPr>
        <w:spacing w:after="60" w:before="60"/>
      </w:pPr>
      <w:r>
        <w:t xml:space="preserve"/>
      </w:r>
    </w:p>
    <w:p>
      <w:pPr>
        <w:spacing w:after="80" w:before="200"/>
      </w:pPr>
      <w:r>
        <w:rPr>
          <w:rFonts w:ascii="Arial" w:cs="Arial" w:eastAsia="Arial" w:hAnsi="Arial"/>
          <w:b/>
          <w:bCs/>
          <w:color w:val="2B2D42"/>
          <w:sz w:val="24"/>
          <w:szCs w:val="24"/>
        </w:rPr>
        <w:t xml:space="preserve">Gap Two: The One-Sentence Fraud Architecture (NHI Act Section 40)</w:t>
      </w:r>
    </w:p>
    <w:p>
      <w:pPr>
        <w:spacing w:after="80" w:before="80" w:line="276" w:lineRule="auto"/>
        <w:ind/>
      </w:pPr>
      <w:r>
        <w:rPr>
          <w:rFonts w:ascii="Arial" w:cs="Arial" w:eastAsia="Arial" w:hAnsi="Arial"/>
          <w:b w:val="false"/>
          <w:bCs w:val="false"/>
          <w:color w:val="2B2D42"/>
          <w:sz w:val="22"/>
          <w:szCs w:val="22"/>
        </w:rPr>
        <w:t xml:space="preserve">The Act provides, in its entirety on this subject: “The information architecture must include a fraud and risk management mechanism.” Eleven words. For a system that will process millions of claims and determine benefits for 60 million people. What the whistleblower’s case proves is the catastrophic inadequacy of that provision. The Gexus-DMS integration gap — a structural system error that generated false non-adherence letters to chronic GEMS patients, corrupted clinical data, and inflated actuarial risk loading — was reported to the CMS. The CMS declined jurisdiction twice. The employer’s Deputy Information Officer swore under oath that no IT incident had been reported, directly contradicting the internal Root Cause Analysis. The employer’s Integrated Annual Report 2025 claimed “no material ESG incidents” while this gap remained unaddressed, patients continued to receive false letters, and the whistleblower was being destroyed for having exposed it. The JSE and FSCA allowed that misleading report to stand. Without an AI Audit Protocol and mandatory fraud detection architecture, the NHI’s information platform will be vulnerable to exactly this kind of structural manipulation — except on a scale of R200 billion.</w:t>
      </w:r>
    </w:p>
    <w:p>
      <w:pPr>
        <w:spacing w:after="60" w:before="60"/>
      </w:pPr>
      <w:r>
        <w:t xml:space="preserve"/>
      </w:r>
    </w:p>
    <w:p>
      <w:pPr>
        <w:spacing w:after="80" w:before="200"/>
      </w:pPr>
      <w:r>
        <w:rPr>
          <w:rFonts w:ascii="Arial" w:cs="Arial" w:eastAsia="Arial" w:hAnsi="Arial"/>
          <w:b/>
          <w:bCs/>
          <w:color w:val="2B2D42"/>
          <w:sz w:val="24"/>
          <w:szCs w:val="24"/>
        </w:rPr>
        <w:t xml:space="preserve">Gap Three: The Undefined Investigation Unit (NHI Act Section 20(2)(g))</w:t>
      </w:r>
    </w:p>
    <w:p>
      <w:pPr>
        <w:spacing w:after="80" w:before="80" w:line="276" w:lineRule="auto"/>
        <w:ind/>
      </w:pPr>
      <w:r>
        <w:rPr>
          <w:rFonts w:ascii="Arial" w:cs="Arial" w:eastAsia="Arial" w:hAnsi="Arial"/>
          <w:b w:val="false"/>
          <w:bCs w:val="false"/>
          <w:color w:val="2B2D42"/>
          <w:sz w:val="22"/>
          <w:szCs w:val="22"/>
        </w:rPr>
        <w:t xml:space="preserve">The Act provides that the CEO must establish a Risk Management and Fraud Prevention Investigation Unit. It specifies no professional competency standards, no independence safeguards, and no escalation protocols. What the whistleblower’s case proves is the consequence of that omission. The whistleblower escalated a Priority 1 Material Risk Report, with 38 attachments, to the Board of AfroCentric on 9 December 2025. The Board did not respond. When he continued to escalate, the Chief Risk Officer, Monwabisi Kula, instructed him in writing: “Can I please ask you to stop sending these e-mails to our directors? Sending further e-mails only gives them an indication of impatience and unreasonableness on your part.” This is active suppression of a material risk report by the very official whose unit should have escalated it. The Zondo Commission documented this exact failure pattern across state-owned entities. The NHI Act repeats the mistake.</w:t>
      </w:r>
    </w:p>
    <w:p>
      <w:pPr>
        <w:spacing w:after="80" w:before="80"/>
      </w:pPr>
      <w:r>
        <w:t xml:space="preserve"/>
      </w:r>
    </w:p>
    <w:p>
      <w:pPr>
        <w:spacing w:after="80" w:before="80" w:line="276" w:lineRule="auto"/>
        <w:ind/>
      </w:pPr>
      <w:r>
        <w:rPr>
          <w:rFonts w:ascii="Arial" w:cs="Arial" w:eastAsia="Arial" w:hAnsi="Arial"/>
          <w:b/>
          <w:bCs/>
          <w:color w:val="0D1B2A"/>
          <w:sz w:val="22"/>
          <w:szCs w:val="22"/>
        </w:rPr>
        <w:t xml:space="preserve">III.  A DIRECT APPEAL TO THE SPEAKER AND THE PORTFOLIO COMMITTEES</w:t>
      </w:r>
    </w:p>
    <w:p>
      <w:pPr>
        <w:pBdr>
          <w:bottom w:val="single" w:color="B01010" w:sz="10" w:space="1"/>
        </w:pBdr>
        <w:spacing w:after="160" w:before="160"/>
      </w:pPr>
      <w:r>
        <w:t xml:space="preserve"/>
      </w:r>
    </w:p>
    <w:p>
      <w:pPr>
        <w:spacing w:after="80" w:before="80" w:line="276" w:lineRule="auto"/>
        <w:ind/>
      </w:pPr>
      <w:r>
        <w:rPr>
          <w:rFonts w:ascii="Arial" w:cs="Arial" w:eastAsia="Arial" w:hAnsi="Arial"/>
          <w:b w:val="false"/>
          <w:bCs w:val="false"/>
          <w:color w:val="2B2D42"/>
          <w:sz w:val="22"/>
          <w:szCs w:val="22"/>
        </w:rPr>
        <w:t xml:space="preserve">Honourable Speaker, the letter from Deneys Reitz Inc. to your Office — threatening the whistleblower with contempt of court for petitioning Parliament — reveals the corporate playbook. The interim interdict obtained by concealment reveals the judicial capture. The silence of every regulator reveals the regulatory collapse. This is not a labour dispute. It is a governance crisis. And it is definitive proof that South Africa is not ready for the National Health Insurance.</w:t>
      </w:r>
    </w:p>
    <w:p>
      <w:pPr>
        <w:spacing w:after="80" w:before="80" w:line="276" w:lineRule="auto"/>
        <w:ind/>
      </w:pPr>
      <w:r>
        <w:rPr>
          <w:rFonts w:ascii="Arial" w:cs="Arial" w:eastAsia="Arial" w:hAnsi="Arial"/>
          <w:b w:val="false"/>
          <w:bCs w:val="false"/>
          <w:color w:val="2B2D42"/>
          <w:sz w:val="22"/>
          <w:szCs w:val="22"/>
        </w:rPr>
        <w:t xml:space="preserve">The PPE procurement crisis cost South Africa R14.3 billion. The NHI Fund will manage R200 billion annually. The math is not complicated. Parliament must fix the governance architecture now — during Phase 1 (2023–2026), when structures are still being designed — or explain to the South African people why it failed to act before the money started flowing.</w:t>
      </w:r>
    </w:p>
    <w:p>
      <w:r>
        <w:br w:type="page"/>
      </w:r>
    </w:p>
    <w:p>
      <w:pPr>
        <w:shd w:fill="0D1B2A" w:val="clear"/>
        <w:spacing w:after="200" w:before="400"/>
        <w:ind w:left="200" w:right="200"/>
      </w:pPr>
      <w:r>
        <w:rPr>
          <w:rFonts w:ascii="Arial" w:cs="Arial" w:eastAsia="Arial" w:hAnsi="Arial"/>
          <w:b/>
          <w:bCs/>
          <w:color w:val="FFFFFF"/>
          <w:sz w:val="34"/>
          <w:szCs w:val="34"/>
        </w:rPr>
        <w:t xml:space="preserve">PART ONE: HARROWING INTRODUCTION — THE CHILLING EFFECT ON THE FLOOR</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Honourable Speaker,</w:t>
      </w:r>
    </w:p>
    <w:p>
      <w:pPr>
        <w:spacing w:after="60" w:before="60"/>
      </w:pPr>
      <w:r>
        <w:t xml:space="preserve"/>
      </w:r>
    </w:p>
    <w:p>
      <w:pPr>
        <w:spacing w:after="80" w:before="80" w:line="276" w:lineRule="auto"/>
        <w:ind/>
      </w:pPr>
      <w:r>
        <w:rPr>
          <w:rFonts w:ascii="Arial" w:cs="Arial" w:eastAsia="Arial" w:hAnsi="Arial"/>
          <w:b w:val="false"/>
          <w:bCs w:val="false"/>
          <w:color w:val="2B2D42"/>
          <w:sz w:val="22"/>
          <w:szCs w:val="22"/>
        </w:rPr>
        <w:t xml:space="preserve">This report is not a legal argument. It is not a petition for a court order. It is a forensic record of what institutional failure looks like on the floor — inside the life of a single human being who did everything the law asked of him and was destroyed for it.</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1.1  The Whistleblower and the Clinical Risk</w:t>
      </w:r>
    </w:p>
    <w:p>
      <w:pPr>
        <w:spacing w:after="80" w:before="80" w:line="276" w:lineRule="auto"/>
        <w:ind/>
      </w:pPr>
      <w:r>
        <w:rPr>
          <w:rFonts w:ascii="Arial" w:cs="Arial" w:eastAsia="Arial" w:hAnsi="Arial"/>
          <w:b w:val="false"/>
          <w:bCs w:val="false"/>
          <w:color w:val="2B2D42"/>
          <w:sz w:val="22"/>
          <w:szCs w:val="22"/>
        </w:rPr>
        <w:t xml:space="preserve">Sr. Wilbur William Matthee is a Specialist Registered Nurse with an NQF Level 8 qualification in Health Services Management. He was employed by Medscheme Holdings (Pty) Ltd as a Case Manager in the GEMS Active Disease Risk Management programme. GEMS is the Government Employees Medical Scheme, administered by Medscheme — a wholly owned subsidiary of AfroCentric Investment Corporation Limited (JSE: ACT) — and it serves 1.9 million public servants and their dependants.</w:t>
      </w:r>
    </w:p>
    <w:p>
      <w:pPr>
        <w:spacing w:after="80" w:before="80" w:line="276" w:lineRule="auto"/>
        <w:ind/>
      </w:pPr>
      <w:r>
        <w:rPr>
          <w:rFonts w:ascii="Arial" w:cs="Arial" w:eastAsia="Arial" w:hAnsi="Arial"/>
          <w:b w:val="false"/>
          <w:bCs w:val="false"/>
          <w:color w:val="2B2D42"/>
          <w:sz w:val="22"/>
          <w:szCs w:val="22"/>
        </w:rPr>
        <w:t xml:space="preserve">On 23 October 2025, Sr. Matthee identified a systemic integration gap between the Gexus and DMS clinical platforms used by Medscheme. The gap had been generating automated non-adherence letters to chronic GEMS patients — letters informing those patients that they had not collected their medication, when in fact they had. The victims included an elderly widow, GEMS case reference 000655789 Dependent 02, a 75-year-old beneficiary who collected her cholesterol medication every month without fail and yet received a false non-adherence letter. When instructed by management to contact that patient on the basis of the system’s false data, Sr. Matthee refused. He made a formal protected disclosure under the Protected Disclosures Act 26 of 2000. The internal Root Cause Analysis subsequently confirmed the integration gap he had identified.</w:t>
      </w:r>
    </w:p>
    <w:p>
      <w:pPr>
        <w:spacing w:after="80" w:before="80" w:line="276" w:lineRule="auto"/>
        <w:ind/>
      </w:pPr>
      <w:r>
        <w:rPr>
          <w:rFonts w:ascii="Arial" w:cs="Arial" w:eastAsia="Arial" w:hAnsi="Arial"/>
          <w:b w:val="false"/>
          <w:bCs w:val="false"/>
          <w:color w:val="2B2D42"/>
          <w:sz w:val="22"/>
          <w:szCs w:val="22"/>
        </w:rPr>
        <w:t xml:space="preserve">That refusal, and that disclosure, was the point at which the institutional machinery turned against him.</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1.2  The Pattern of Retaliation — What Happened to a Nurse Who Refused to Lie</w:t>
      </w:r>
    </w:p>
    <w:p>
      <w:pPr>
        <w:spacing w:after="80" w:before="80" w:line="276" w:lineRule="auto"/>
        <w:ind/>
      </w:pPr>
      <w:r>
        <w:rPr>
          <w:rFonts w:ascii="Arial" w:cs="Arial" w:eastAsia="Arial" w:hAnsi="Arial"/>
          <w:b w:val="false"/>
          <w:bCs w:val="false"/>
          <w:color w:val="2B2D42"/>
          <w:sz w:val="22"/>
          <w:szCs w:val="22"/>
        </w:rPr>
        <w:t xml:space="preserve">The retaliation that followed was not subtle and it was not ambiguous. On 23 July 2025, an unlawful deduction of R14,811.77 was processed in a single pay cycle — representing 40.47% of his salary, exceeding the statutory cap of 25% under Section 34(2) of the Basic Conditions of Employment Act, without written consent, without prior consultation, and in violation of the employer’s own policy which his manager had acknowledged the day before the deduction was processed.</w:t>
      </w:r>
    </w:p>
    <w:p>
      <w:pPr>
        <w:spacing w:after="80" w:before="80" w:line="276" w:lineRule="auto"/>
        <w:ind/>
      </w:pPr>
      <w:r>
        <w:rPr>
          <w:rFonts w:ascii="Arial" w:cs="Arial" w:eastAsia="Arial" w:hAnsi="Arial"/>
          <w:b w:val="false"/>
          <w:bCs w:val="false"/>
          <w:color w:val="2B2D42"/>
          <w:sz w:val="22"/>
          <w:szCs w:val="22"/>
        </w:rPr>
        <w:t xml:space="preserve">On 23 September 2025, he was subjected to gender-identity harassment through a Microsoft Teams message referring to him as “Wilma” — a violation of Section 6 of the Employment Equity Act. On 25 September 2025, he filed a formal discrimination complaint. On 29 September 2025 — the same day — double unpaid leave was loaded against him, a retaliatory act documented in his payroll records.</w:t>
      </w:r>
    </w:p>
    <w:p>
      <w:pPr>
        <w:spacing w:after="80" w:before="80" w:line="276" w:lineRule="auto"/>
        <w:ind/>
      </w:pPr>
      <w:r>
        <w:rPr>
          <w:rFonts w:ascii="Arial" w:cs="Arial" w:eastAsia="Arial" w:hAnsi="Arial"/>
          <w:b w:val="false"/>
          <w:bCs w:val="false"/>
          <w:color w:val="2B2D42"/>
          <w:sz w:val="22"/>
          <w:szCs w:val="22"/>
        </w:rPr>
        <w:t xml:space="preserve">On 31 October 2025, his manager admitted in a recorded meeting: “You made a case of harassment against me, so I can make a case of harassment against you.” That recording exists and has been offered to Parliament.</w:t>
      </w:r>
    </w:p>
    <w:p>
      <w:pPr>
        <w:spacing w:after="80" w:before="80" w:line="276" w:lineRule="auto"/>
        <w:ind/>
      </w:pPr>
      <w:r>
        <w:rPr>
          <w:rFonts w:ascii="Arial" w:cs="Arial" w:eastAsia="Arial" w:hAnsi="Arial"/>
          <w:b w:val="false"/>
          <w:bCs w:val="false"/>
          <w:color w:val="2B2D42"/>
          <w:sz w:val="22"/>
          <w:szCs w:val="22"/>
        </w:rPr>
        <w:t xml:space="preserve">On 10 December 2025 — one day after he submitted a Priority 1 Material Risk Report to the Board of AfroCentric with 38 attachments — the employer’s representative filed a sworn affidavit in the CCMA describing his clinically diagnosed severe depression and PTSD as a “cynical excuse” and an afterthought. On 18 December 2025, the employer’s Chief Risk Officer, Monwabisi Kula, sent him a written instruction to stop emailing the directors.</w:t>
      </w:r>
    </w:p>
    <w:p>
      <w:pPr>
        <w:spacing w:after="80" w:before="80" w:line="276" w:lineRule="auto"/>
        <w:ind/>
      </w:pPr>
      <w:r>
        <w:rPr>
          <w:rFonts w:ascii="Arial" w:cs="Arial" w:eastAsia="Arial" w:hAnsi="Arial"/>
          <w:b w:val="false"/>
          <w:bCs w:val="false"/>
          <w:color w:val="2B2D42"/>
          <w:sz w:val="22"/>
          <w:szCs w:val="22"/>
        </w:rPr>
        <w:t xml:space="preserve">On 12 December 2025, having been made to understand that continued employment was intolerable, he resigned — citing Section 186(1)(e) of the Labour Relations Act, constructive dismissal. The employer then submitted a false UI-19 declaration recording the termination as voluntary resignation (Code 6) rather than constructive dismissal (Code 7), blocking his access to UIF benefits. On 16 April 2026, the employer’s attorneys obtained an ex parte interim interdict from the Western Cape High Court after concealing the whistleblower’s answering affidavit from the court — a fraud on the court. That gag order was subsequently extended to 1 March 2027, silencing him for nearly a year.</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1.3  The Human Consequence</w:t>
      </w:r>
    </w:p>
    <w:p>
      <w:pPr>
        <w:spacing w:after="80" w:before="80" w:line="276" w:lineRule="auto"/>
        <w:ind/>
      </w:pPr>
      <w:r>
        <w:rPr>
          <w:rFonts w:ascii="Arial" w:cs="Arial" w:eastAsia="Arial" w:hAnsi="Arial"/>
          <w:b w:val="false"/>
          <w:bCs w:val="false"/>
          <w:color w:val="2B2D42"/>
          <w:sz w:val="22"/>
          <w:szCs w:val="22"/>
        </w:rPr>
        <w:t xml:space="preserve">The consequence of this retaliation, compounded by the failure of every regulator he approached, is not abstract. Sr. Matthee has been homeless since 2 April 2026, when he was evicted after the unlawful deduction destroyed his financial position. He has had no running water since January 2026. His personal possessions were seized by loan sharks. He was deregistered by the South African Nursing Council because he could not pay R870 — the annual registration fee — a direct consequence of the unlawful deduction that no regulator has compelled the employer to reverse. He has been accepted into a CPUT Postgraduate Diploma in Occupational Health Care Nursing for 2026 but cannot enrol. He is formally diagnosed with severe depression and PTSD, the diagnosis of Dr Jacques Malan (FCPSYCH(SA)), whose letter was provided to the employer in May 2025 — before the deduction, before the CCMA affidavit dismissed his condition as a cynical excuse, before any of this began. He is self-represented in nine concurrent proceedings because he cannot afford legal representation. He operates from a position of complete institutional abandonment.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single" w:color="B01010" w:sz="24"/>
              <w:bottom w:val="single" w:color="B01010" w:sz="12"/>
              <w:right w:val="single" w:color="CCCCCC" w:sz="4"/>
            </w:tcBorders>
            <w:shd w:fill="FFF0F0" w:val="clear"/>
            <w:tcMar>
              <w:top w:type="dxa" w:w="160"/>
              <w:left w:type="dxa" w:w="240"/>
              <w:bottom w:type="dxa" w:w="160"/>
              <w:right w:type="dxa" w:w="240"/>
            </w:tcMar>
          </w:tcPr>
          <w:p>
            <w:pPr>
              <w:spacing w:after="60" w:before="0"/>
            </w:pPr>
            <w:r>
              <w:rPr>
                <w:rFonts w:ascii="Arial" w:cs="Arial" w:eastAsia="Arial" w:hAnsi="Arial"/>
                <w:b/>
                <w:bCs/>
                <w:color w:val="B01010"/>
                <w:sz w:val="20"/>
                <w:szCs w:val="20"/>
              </w:rPr>
              <w:t xml:space="preserve">THE CHILLING EFFECT — ALREADY REAL</w:t>
            </w:r>
          </w:p>
          <w:p>
            <w:pPr>
              <w:spacing w:after="0" w:before="0"/>
            </w:pPr>
            <w:r>
              <w:rPr>
                <w:rFonts w:ascii="Arial" w:cs="Arial" w:eastAsia="Arial" w:hAnsi="Arial"/>
                <w:color w:val="2B2D42"/>
                <w:sz w:val="21"/>
                <w:szCs w:val="21"/>
              </w:rPr>
              <w:t xml:space="preserve">Every nurse, doctor, pharmacist, and healthcare administrator who reads this report now knows: if you report a system error that affects patients, you will be retaliated against. Your salary will be cut. Your professional registration will be lost. Your home will be taken. Your water will be cut. And when you cry out to every regulator, they will either decline jurisdiction, remain silent, or actively obstruct you. That is what regulatory capture looks like on the floor. Parliament must break this chilling effect. Not by passing another law that will not be enforced — but by exercising its constitutional oversight powers, summoning the heads of every failed institution, and holding them accountable.</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TWO: METHODOLOGY AND SCOPE OF THIS REPORT</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2.1  Purpose of This Section</w:t>
      </w:r>
    </w:p>
    <w:p>
      <w:pPr>
        <w:spacing w:after="80" w:before="80" w:line="276" w:lineRule="auto"/>
        <w:ind/>
      </w:pPr>
      <w:r>
        <w:rPr>
          <w:rFonts w:ascii="Arial" w:cs="Arial" w:eastAsia="Arial" w:hAnsi="Arial"/>
          <w:b w:val="false"/>
          <w:bCs w:val="false"/>
          <w:color w:val="2B2D42"/>
          <w:sz w:val="22"/>
          <w:szCs w:val="22"/>
        </w:rPr>
        <w:t xml:space="preserve">This section explains how the evidence in this report was gathered, authenticated, and analysed. It is included to assist parliamentary officials and committee members in assessing the credibility and reliability of the findings, and in particular to pre-empt the employer’s anticipated argument that the report is “self-serving.”</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2.2  Primary Source Documents Only</w:t>
      </w:r>
    </w:p>
    <w:p>
      <w:pPr>
        <w:spacing w:after="80" w:before="80" w:line="276" w:lineRule="auto"/>
        <w:ind/>
      </w:pPr>
      <w:r>
        <w:rPr>
          <w:rFonts w:ascii="Arial" w:cs="Arial" w:eastAsia="Arial" w:hAnsi="Arial"/>
          <w:b w:val="false"/>
          <w:bCs w:val="false"/>
          <w:color w:val="2B2D42"/>
          <w:sz w:val="22"/>
          <w:szCs w:val="22"/>
        </w:rPr>
        <w:t xml:space="preserve">All findings in this report are based on primary source documents generated by the employer, the regulators, the courts, or the complainant himself during the events described. No secondary sources or media reports are relied upon for factual findings. The categories of primary evidence are as follows.</w:t>
      </w:r>
    </w:p>
    <w:p>
      <w:pPr>
        <w:spacing w:after="80" w:before="80" w:line="276" w:lineRule="auto"/>
        <w:ind/>
      </w:pPr>
      <w:r>
        <w:rPr>
          <w:rFonts w:ascii="Arial" w:cs="Arial" w:eastAsia="Arial" w:hAnsi="Arial"/>
          <w:b w:val="false"/>
          <w:bCs w:val="false"/>
          <w:color w:val="2B2D42"/>
          <w:sz w:val="22"/>
          <w:szCs w:val="22"/>
        </w:rPr>
        <w:t xml:space="preserve">Employment documents — including the employment contract (Grade B4M1, Care Coordinator), interview invitation (Specialist Care Manager), payslips, Certificate of Service, and UI-19 form — were all generated by Medscheme and AfroCentric. They are the employer’s own records. Internal correspondence, including emails between the complainant and management, Microsoft Teams messages, and HR correspondence, were generated by Medscheme’s own systems with metadata intact.</w:t>
      </w:r>
    </w:p>
    <w:p>
      <w:pPr>
        <w:spacing w:after="80" w:before="80" w:line="276" w:lineRule="auto"/>
        <w:ind/>
      </w:pPr>
      <w:r>
        <w:rPr>
          <w:rFonts w:ascii="Arial" w:cs="Arial" w:eastAsia="Arial" w:hAnsi="Arial"/>
          <w:b w:val="false"/>
          <w:bCs w:val="false"/>
          <w:color w:val="2B2D42"/>
          <w:sz w:val="22"/>
          <w:szCs w:val="22"/>
        </w:rPr>
        <w:t xml:space="preserve">Governance escalations — the Priority 1 Material Risk Report with 38 attachments, the GRC memoranda, and Board communications — establish the chain of notice to the employer’s most senior organs. Medical evidence, including Dr Jacques Malan’s psychiatric letter and the Akeso Stepping Stones admission records, was generated by treating clinicians independent of the employer. Regulatory correspondence from the CMS, SAHRC, JSE, and B-BBEE Commission are the institutional admissions of non-investigation. Court pleadings, interim orders, and the transcripts of the CCMA conciliation (44 minutes, audio-recorded) are part of the public record. SAPS records confirm the criminal case number CAS 705/3/2026. Two audio recordings — the retaliatory admission of 31 October 2025, and the Delft Police Station interaction of 23 February 2026 — have been retained and offered to Parliament.</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2.3  Forensic Classification Framework</w:t>
      </w:r>
    </w:p>
    <w:p>
      <w:pPr>
        <w:spacing w:after="80" w:before="80" w:line="276" w:lineRule="auto"/>
        <w:ind/>
      </w:pPr>
      <w:r>
        <w:rPr>
          <w:rFonts w:ascii="Arial" w:cs="Arial" w:eastAsia="Arial" w:hAnsi="Arial"/>
          <w:b w:val="false"/>
          <w:bCs w:val="false"/>
          <w:color w:val="2B2D42"/>
          <w:sz w:val="22"/>
          <w:szCs w:val="22"/>
        </w:rPr>
        <w:t xml:space="preserve">The complainant prepared a Forensic Evidence Classification Report (FR-1) that classifies 58 primary source documents against fourteen statutory violation categories covering BCEA, LRA, PDA, EEA, UIF Act, Medical Schemes Act, B-BBEE Act, and the Constitution. This framework is available as an annexure and has been offered in full to any parliamentary legal officer or independent forensic investigator whom Parliament may appoint.</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2.4  The Complainant’s Role — Primary Source, Not Hearsay</w:t>
      </w:r>
    </w:p>
    <w:p>
      <w:pPr>
        <w:spacing w:after="80" w:before="80" w:line="276" w:lineRule="auto"/>
        <w:ind/>
      </w:pPr>
      <w:r>
        <w:rPr>
          <w:rFonts w:ascii="Arial" w:cs="Arial" w:eastAsia="Arial" w:hAnsi="Arial"/>
          <w:b w:val="false"/>
          <w:bCs w:val="false"/>
          <w:color w:val="2B2D42"/>
          <w:sz w:val="22"/>
          <w:szCs w:val="22"/>
        </w:rPr>
        <w:t xml:space="preserve">The complainant is not a third-party investigator or journalist. He is the person who identified the Gexus-DMS integration gap, made the protected disclosure, was retaliated against, escalated to the Board, approached every regulator, filed the court applications, was silenced by the interim interdict, and now approaches Parliament. He has direct personal knowledge of most facts set out in this report. Where facts are not within his personal knowledge, they are supported by documentary evidence generated by the institution concerned — often admissions in the employer’s own records or orders of the courts themselves.</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2.5  Protected Disclosure Status of This Submission</w:t>
      </w:r>
    </w:p>
    <w:p>
      <w:pPr>
        <w:spacing w:after="80" w:before="80" w:line="276" w:lineRule="auto"/>
        <w:ind/>
      </w:pPr>
      <w:r>
        <w:rPr>
          <w:rFonts w:ascii="Arial" w:cs="Arial" w:eastAsia="Arial" w:hAnsi="Arial"/>
          <w:b w:val="false"/>
          <w:bCs w:val="false"/>
          <w:color w:val="2B2D42"/>
          <w:sz w:val="22"/>
          <w:szCs w:val="22"/>
        </w:rPr>
        <w:t xml:space="preserve">This report is submitted to Parliament under Section 8 of the Protected Disclosures Act 26 of 2000, which expressly protects disclosures made to any body or person with the power to investigate. Parliament, through its Portfolio Committees, has statutory power to investigate the conduct of any entity subject to its oversight mandate. Parliament is not “the public at large” for purposes of the High Court interim interdict obtained in Case 2026-086906. The legal basis for this submission is set out in the complainant’s letter to the Speaker dated 3 June 2026, and in the constitutional rights guaranteed under Sections 16 and 56 of the Constitution.</w:t>
      </w:r>
    </w:p>
    <w:p>
      <w:r>
        <w:br w:type="page"/>
      </w:r>
    </w:p>
    <w:p>
      <w:pPr>
        <w:shd w:fill="0D1B2A" w:val="clear"/>
        <w:spacing w:after="200" w:before="400"/>
        <w:ind w:left="200" w:right="200"/>
      </w:pPr>
      <w:r>
        <w:rPr>
          <w:rFonts w:ascii="Arial" w:cs="Arial" w:eastAsia="Arial" w:hAnsi="Arial"/>
          <w:b/>
          <w:bCs/>
          <w:color w:val="FFFFFF"/>
          <w:sz w:val="34"/>
          <w:szCs w:val="34"/>
        </w:rPr>
        <w:t xml:space="preserve">PART THREE: MASTER CHRONOLOGY — KEY EVENTS AT A GLANCE</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The following chronology is drawn from primary source documents. Each event is supported by documentary evidence referenced in the Index of Annexures. The chronology runs from the first medical evidence of occupational harm through to the date of this submission.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3080"/>
        <w:gridCol w:w="2180"/>
      </w:tblGrid>
      <w:tr>
        <w:tc>
          <w:tcPr>
            <w:tcW w:type="dxa" w:w="140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Date</w:t>
            </w:r>
          </w:p>
        </w:tc>
        <w:tc>
          <w:tcPr>
            <w:tcW w:type="dxa" w:w="290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Event</w:t>
            </w:r>
          </w:p>
        </w:tc>
        <w:tc>
          <w:tcPr>
            <w:tcW w:type="dxa" w:w="308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Significance</w:t>
            </w:r>
          </w:p>
        </w:tc>
        <w:tc>
          <w:tcPr>
            <w:tcW w:type="dxa" w:w="218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Ref.</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18 Mar 2025</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Admitted to Akeso Stepping Stones Clinic (severe depression, PTSD)</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Medical vulnerability documented before retaliation escalated</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B1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16 Apr 2025</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Manager states: ‘we do not apply staggering of money owed’</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Refusal to accommodate disability; contradicts own policy; admission of BCEA non-compliance</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HR records</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16 May 2025</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Psychiatric letter from Dr Jacques Malan provided to employer</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Employer placed on formal notice of disability</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B1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23 Jul 2025</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Unlawful deduction of R14,811.77 (40.47% of salary) in single pay cycle</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Exceeds BCEA s34(2) cap of 25%; no written consent; no consultation</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PS2</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23 Sep 2025</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‘Wilma’ gender-identity harassment via Microsoft Teams</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EEA Section 6 violation — documented in employer’s own systems</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25 Sep 2025</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Formal discrimination complaint filed; double unpaid leave loaded same day</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Retaliatory same-day loading — direct evidentiary connection</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C2, C3</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23 Oct 2025</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Protected disclosure: Gexus-DMS integration gap; refusal to use false data</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PDA Section 1 protected disclosure — confirmed by employer’s own RCA</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D1, D2, D3</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31 Oct 2025</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Recorded admission: ‘You made a case of harassment against me, so I can make a case against you’</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Direct audio evidence of retaliatory intent by named manager</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E1 (audio)</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 Nov 2025</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Formal grievance filed — no response for 30+ days</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Institutional silence at employer level — failure to engage</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Internal</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4 Dec 2025</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Executive escalation to CEO — complaint de-escalated back to accused department</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Bad faith: deliberate circular referral</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F1</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9 Dec 2025</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Priority 1 Material Risk Report to Board (38 attachments) — no response</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Board-level governance failure; formal notice of Priority 1 clinical risk</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G1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10 Dec 2025</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CCMA opposing affidavit calls depression a ‘cynical excuse’</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Sworn attack on disability filed one day after Board escalation; potential perjury</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H1</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12 Dec 2025</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Resignation — constructive dismissal (LRA Section 186(1)(e))</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Employment terminates; explicit statutory citation on face of resignation</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H2</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16 Dec 2025</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Maximum Severity GRC Escalation — 24-hour compliance window</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Final internal escalation; ignored</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Internal</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18 Dec 2025</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CRO suppression email: ‘stop sending these e-mails to our directors’</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Active suppression of protected disclosure by Chief Risk Officer</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I1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9 Jan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CCMA conciliation: ‘nothing here relates to the PDA’; ‘Google it’</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Institutional bias; prejudgment; failure to assist destitute litigant</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CCMA transcript</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4 Feb 2026</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CMS declines jurisdiction (first time)</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Regulatory deflection commences</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J1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10 Feb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Formal complaint to SANC — no acknowledgment</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SANC failure commences; complaint SANC/MEDSCHEME/MATTHEE/20260105</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J3</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11 Feb 2026</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HPCSA refers to SANC; never responds to core ethical question</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HPCSA participation in jurisdictional ping-pong</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HPCSA correspondence</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16 Feb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Formal complaint to SAPC — jurisdiction later declined</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SAPC professional conduct committee meeting held; declines</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SAPC records</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23 Feb 2026</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SAPS Delft refuses to open criminal case; officer falsely claims to be station commander (audio-recorded)</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SAPS failure; false representation; CAS 705/3/2026 later registered after Brigadier Naidoo escalation</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Recording 2</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6 Mar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JSE declines jurisdiction (Ref JvS/166792)</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Market regulator failure; 325-page bundle already submitted</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K1</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13 Mar 2026</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Labour Court portal obstruction: 8 days; rejection: ‘good day you put date’</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Access to justice denied; destitute litigant facing imminent eviction</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K2</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19 Mar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Section 162 director delinquency application filed (High Court)</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Material litigation — not disclosed to market; AfroCentric share price at 52-week low next day</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L1</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16 Apr 2026</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High Court grants ex parte interim interdict — answering affidavit concealed by attorneys</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Fraud on the court; gag order obtained on false premise</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M1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19 May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Employer’s Labour Court statement: ‘not aware’ of Case 2026-077546</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Apparent perjury — contradicts CEO’s acknowledgment in High Court affidavit</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N1</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28 May 2026</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Rule nisi extended to 1 March 2027 — almost one year</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Effective final interdict without final hearing</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M2</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2 Jun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Employer responds to statutory compliance request: ‘Good luck to you then’</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Bad faith litigation contempt for self-represented destitute litigant</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O1</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4 Jun 2026</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Deneys letter threatens contempt for petitioning Parliament</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Attempt to block constitutional right under Section 56; legally untenable</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P1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11 Jun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Unilateral Pre-Trial Minute filed</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Procedural record of employer’s non-cooperation across all proceedings</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Q1</w:t>
            </w:r>
          </w:p>
        </w:tc>
      </w:tr>
      <w:tr>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13 Jun 2026</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Final notice to employer — deadline for settlement framework</w:t>
            </w:r>
          </w:p>
        </w:tc>
        <w:tc>
          <w:tcPr>
            <w:tcW w:type="dxa" w:w="30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Last attempt before parliamentary submission</w:t>
            </w:r>
          </w:p>
        </w:tc>
        <w:tc>
          <w:tcPr>
            <w:tcW w:type="dxa" w:w="218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R1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June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This Consolidated Forensic Oversight Report submitted to Parliament</w:t>
            </w:r>
          </w:p>
        </w:tc>
        <w:tc>
          <w:tcPr>
            <w:tcW w:type="dxa" w:w="3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Final institutional remedy — the last door</w:t>
            </w:r>
          </w:p>
        </w:tc>
        <w:tc>
          <w:tcPr>
            <w:tcW w:type="dxa" w:w="2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S1</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FOUR: NOTE TO PORTFOLIO COMMITTEES — SPECIFIC REFERRALS</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This report is structured to assist each Portfolio Committee in exercising its constitutional oversight mandate. The following guide identifies the sections most relevant to each Committee and sets out the specific questions this evidence compels. The full investigative reports for each institution follow in Parts Five through Fourteen.</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4.1  Portfolio Committee on Health</w:t>
      </w:r>
    </w:p>
    <w:p>
      <w:pPr>
        <w:spacing w:after="80" w:before="80" w:line="276" w:lineRule="auto"/>
        <w:ind/>
      </w:pPr>
      <w:r>
        <w:rPr>
          <w:rFonts w:ascii="Arial" w:cs="Arial" w:eastAsia="Arial" w:hAnsi="Arial"/>
          <w:b w:val="false"/>
          <w:bCs w:val="false"/>
          <w:color w:val="2B2D42"/>
          <w:sz w:val="22"/>
          <w:szCs w:val="22"/>
        </w:rPr>
        <w:t xml:space="preserve">Constitutional mandate: Oversight over the Department of Health, the Council for Medical Schemes, the South African Nursing Council, the Health Professions Council of South Africa, the South African Pharmacy Council, and public health policy, including the implementation of the NHI.</w:t>
      </w:r>
    </w:p>
    <w:p>
      <w:pPr>
        <w:spacing w:after="80" w:before="80" w:line="276" w:lineRule="auto"/>
        <w:ind/>
      </w:pPr>
      <w:r>
        <w:rPr>
          <w:rFonts w:ascii="Arial" w:cs="Arial" w:eastAsia="Arial" w:hAnsi="Arial"/>
          <w:b w:val="false"/>
          <w:bCs w:val="false"/>
          <w:color w:val="2B2D42"/>
          <w:sz w:val="22"/>
          <w:szCs w:val="22"/>
        </w:rPr>
        <w:t xml:space="preserve">The evidence before this Committee concerns the total failure of all four health regulators to protect either a protected whistleblower or the 1.9 million GEMS members he sought to protect. The CMS declined jurisdiction twice over a documented Priority 1 clinical risk, while simultaneously exercising jurisdiction over a comparable Discovery Health system error in the same period — a disparity that is indicative of regulatory capture. The SANC never acknowledged a formal 9-page misconduct complaint against two registered nurses, and then deregistered the complainant because he could not pay his annual fees. The HPCSA deflected to SANC and then went silent, never answering a direct ethical question. The SAPC convened a Professional Conduct Committee meeting, showed hesitation, and then declined jurisdiction. GEMS, as the principal scheme, received two formal protected disclosures in April 2026 and responded only with an auto-acknowledgement. AfroCentric’s Integrated Annual Report 2025, published while these failures were active, claimed zero tolerance for unethical conduct and no material ESG incidents.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Why did CMS decline jurisdiction over the Gexus-DMS integration gap under MSA Sections 7, 47, 58, and 44 — while exercising jurisdiction over a comparable Discovery Health system error in January 2026? What is the principled distinction?</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Why has SANC not acknowledged or investigated complaint SANC/MEDSCHEME/MATTHEE/20260105, filed on 10 February 2026? Is the SANC’s deregistration of the complainant for non-payment of fees — fees he could not pay because of an employer’s unlawful deduction — consistent with the SANC’s duty to support, not punish, nurse-whistleblowers?</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Why did HPCSA not answer the core ethical question posed on 14 April 2026 — within 48 hours, when a documented life threat was disclosed? Does the HPCSA accept that a registered professional may refuse an instruction based on verified flawed forensic data?</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4.  </w:t>
            </w:r>
            <w:r>
              <w:rPr>
                <w:rFonts w:ascii="Arial" w:cs="Arial" w:eastAsia="Arial" w:hAnsi="Arial"/>
                <w:color w:val="2B2D42"/>
                <w:sz w:val="21"/>
                <w:szCs w:val="21"/>
              </w:rPr>
              <w:t xml:space="preserve">Why has the SAPC’s Professional Conduct Committee declined jurisdiction over a complaint against a Responsible Pharmacist for a methodologically deficient analysis that closed a patient safety investigation?</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5.  </w:t>
            </w:r>
            <w:r>
              <w:rPr>
                <w:rFonts w:ascii="Arial" w:cs="Arial" w:eastAsia="Arial" w:hAnsi="Arial"/>
                <w:color w:val="2B2D42"/>
                <w:sz w:val="21"/>
                <w:szCs w:val="21"/>
              </w:rPr>
              <w:t xml:space="preserve">Is the Minister of Health aware that a Priority 1 clinical risk affecting 1.9 million GEMS members remains unaddressed? What NHI governance architecture is in place to prevent the same regulatory capture under the Fund?</w:t>
            </w:r>
          </w:p>
        </w:tc>
      </w:tr>
    </w:tbl>
    <w:p>
      <w:pPr>
        <w:spacing w:after="120" w:before="120"/>
      </w:pPr>
      <w:r>
        <w:t xml:space="preserve"/>
      </w:r>
    </w:p>
    <w:p>
      <w:pPr>
        <w:pBdr>
          <w:bottom w:val="single" w:color="B01010" w:sz="6" w:space="2"/>
        </w:pBdr>
        <w:spacing w:after="100" w:before="280"/>
      </w:pPr>
      <w:r>
        <w:rPr>
          <w:rFonts w:ascii="Arial" w:cs="Arial" w:eastAsia="Arial" w:hAnsi="Arial"/>
          <w:b/>
          <w:bCs/>
          <w:color w:val="B01010"/>
          <w:sz w:val="28"/>
          <w:szCs w:val="28"/>
        </w:rPr>
        <w:t xml:space="preserve">4.2  Portfolio Committee on Employment and Labour</w:t>
      </w:r>
    </w:p>
    <w:p>
      <w:pPr>
        <w:spacing w:after="80" w:before="80" w:line="276" w:lineRule="auto"/>
        <w:ind/>
      </w:pPr>
      <w:r>
        <w:rPr>
          <w:rFonts w:ascii="Arial" w:cs="Arial" w:eastAsia="Arial" w:hAnsi="Arial"/>
          <w:b w:val="false"/>
          <w:bCs w:val="false"/>
          <w:color w:val="2B2D42"/>
          <w:sz w:val="22"/>
          <w:szCs w:val="22"/>
        </w:rPr>
        <w:t xml:space="preserve">Constitutional mandate: Oversight over the DEL, the CCMA, the Labour Court, the BCEA, the LRA, and the UIF Act.</w:t>
      </w:r>
    </w:p>
    <w:p>
      <w:pPr>
        <w:spacing w:after="80" w:before="80" w:line="276" w:lineRule="auto"/>
        <w:ind/>
      </w:pPr>
      <w:r>
        <w:rPr>
          <w:rFonts w:ascii="Arial" w:cs="Arial" w:eastAsia="Arial" w:hAnsi="Arial"/>
          <w:b w:val="false"/>
          <w:bCs w:val="false"/>
          <w:color w:val="2B2D42"/>
          <w:sz w:val="22"/>
          <w:szCs w:val="22"/>
        </w:rPr>
        <w:t xml:space="preserve">The evidence before this Committee concerns the systematic failure of every employment and labour institution the complainant approached. The DEL refused to enforce UIF remittance for June 2025, refused to correct a false UI-19 declaration, and closed the investigation file with a jurisdictional error — claiming the CCMA had exclusive jurisdiction over a UI-19 fraud, which is a statutory offence within the DEL’s exclusive mandate. Principal Inspector Cebo Kutuka’s email closing the file at 23:31 on 15 April 2026 is a reviewable administrative act under PAJA. The CCMA conciliation of 9 January 2026 was a failure of the highest order: Commissioner Ntabiseng Ngwane declared “nothing here relates to the PDA” before hearing any evidence, told the complainant to “Google it” when he asked for the Labour Court’s address, tolerated the employer’s representative laughing at his settlement demand, and failed to apply or cite BCEA Section 34 despite the 40.47% deduction being central to the proceedings. Provincial Senior Commissioner Vusumzi Landu’s response to the formal complaint was a whitewash. The Labour Court’s online portal obstructed the complainant for eight days, his profile was deleted, and the eventual rejection stated: “good day you put date.” A default judgment application on an uncontested liquidated claim has been delayed for over six weeks.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Why did DEL close its investigation of the UI-19 fraud on 15 April 2026, citing CCMA jurisdiction — when the CCMA has no power to correct a UI-19 and the false declaration blocked the complainant’s access to UIF benefits to which he was legally entitled?</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Why did Commissioner Ngwane declare the PDA irrelevant before hearing any evidence, and what action was taken following the formal complaint? What investigation was conducted by PSC Landu, and why were most allegations ignored?</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Why did the Labour Court’s online portal reject an urgent application from a destitute, homeless, disabled litigant with the reason “good day you put date” — a trivial formatting issue that could have been corrected in seconds?</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4.  </w:t>
            </w:r>
            <w:r>
              <w:rPr>
                <w:rFonts w:ascii="Arial" w:cs="Arial" w:eastAsia="Arial" w:hAnsi="Arial"/>
                <w:color w:val="2B2D42"/>
                <w:sz w:val="21"/>
                <w:szCs w:val="21"/>
              </w:rPr>
              <w:t xml:space="preserve">Will the Minister direct DEL to issue a Compliance Order correcting the UI-19 from Code 6 (Resigned) to Code 7 (Constructive Dismissal) and remitting the June 2025 UIF contributions that were deducted but not paid?</w:t>
            </w:r>
          </w:p>
        </w:tc>
      </w:tr>
    </w:tbl>
    <w:p>
      <w:pPr>
        <w:spacing w:after="120" w:before="120"/>
      </w:pPr>
      <w:r>
        <w:t xml:space="preserve"/>
      </w:r>
    </w:p>
    <w:p>
      <w:pPr>
        <w:pBdr>
          <w:bottom w:val="single" w:color="B01010" w:sz="6" w:space="2"/>
        </w:pBdr>
        <w:spacing w:after="100" w:before="280"/>
      </w:pPr>
      <w:r>
        <w:rPr>
          <w:rFonts w:ascii="Arial" w:cs="Arial" w:eastAsia="Arial" w:hAnsi="Arial"/>
          <w:b/>
          <w:bCs/>
          <w:color w:val="B01010"/>
          <w:sz w:val="28"/>
          <w:szCs w:val="28"/>
        </w:rPr>
        <w:t xml:space="preserve">4.3  Portfolio Committee on Trade, Industry and Competition</w:t>
      </w:r>
    </w:p>
    <w:p>
      <w:pPr>
        <w:spacing w:after="80" w:before="80" w:line="276" w:lineRule="auto"/>
        <w:ind/>
      </w:pPr>
      <w:r>
        <w:rPr>
          <w:rFonts w:ascii="Arial" w:cs="Arial" w:eastAsia="Arial" w:hAnsi="Arial"/>
          <w:b w:val="false"/>
          <w:bCs w:val="false"/>
          <w:color w:val="2B2D42"/>
          <w:sz w:val="22"/>
          <w:szCs w:val="22"/>
        </w:rPr>
        <w:t xml:space="preserve">Constitutional mandate: Oversight over the B-BBEE Commission, the JSE, the CIPC, and transformation policy.</w:t>
      </w:r>
    </w:p>
    <w:p>
      <w:pPr>
        <w:spacing w:after="80" w:before="80" w:line="276" w:lineRule="auto"/>
        <w:ind/>
      </w:pPr>
      <w:r>
        <w:rPr>
          <w:rFonts w:ascii="Arial" w:cs="Arial" w:eastAsia="Arial" w:hAnsi="Arial"/>
          <w:b w:val="false"/>
          <w:bCs w:val="false"/>
          <w:color w:val="2B2D42"/>
          <w:sz w:val="22"/>
          <w:szCs w:val="22"/>
        </w:rPr>
        <w:t xml:space="preserve">The evidence before this Committee concerns the failure of South Africa’s transformation and market integrity regulatory architecture in the face of documented fronting and corporate misrepresentation. The B-BBEE Commission was provided with sworn evidence that the complainant (Black, NQF Level 8) was recruited as Specialist: Care Manager but contracted as Care Coordinator (Grade B4M1), that a Naming Convention meeting in May 2025 instructed him to adopt the title Case Manager, that he exercised genuine management authority as Acting Chairperson of the Health and Safety Committee managing 13+ staff across three floors, and that a Senior HR Business Partner admitted in writing that the naming convention changes were “not applied to your department.” The Commission declined to investigate, treating the complaint as a labour dispute — an error of law. It refused to use Section 13K subpoena powers to obtain the Naming Convention recording or AfroCentric’s B-BBEE verification certificate. The JSE declined to enforce disclosure obligations, accepting AfroCentric’s narrow price-sensitivity test and allowing the Integrated Annual Report 2025 — which omitted the Section 162 application, the B-BBEE investigation (potential R580 million fine), and a criminal case — to stand uncorrected.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Does the B-BBEE Commission accept that the appointment of a Black NQF Level 8 professional in a contractually suppressed title — while using his credentials for B-BBEE scorecard points — constitutes fronting under Section 1(c) of the B-BBEE Act? If not, what principled distinction applies?</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Why did the Commission decline to use Section 13K subpoena powers to obtain the Naming Convention Teams recording and AfroCentric’s B-BBEE verification certificate — the very documents needed to confirm or deny the allegation?</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Why did the JSE not require AfroCentric to disclose the Section 162 delinquency application (filed 19 March 2026) or the B-BBEE fronting investigation (potential R580 million fine) as material information, particularly given that AfroCentric’s share price had reached a 52-week low the day before the Section 162 application was filed?</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4.  </w:t>
            </w:r>
            <w:r>
              <w:rPr>
                <w:rFonts w:ascii="Arial" w:cs="Arial" w:eastAsia="Arial" w:hAnsi="Arial"/>
                <w:color w:val="2B2D42"/>
                <w:sz w:val="21"/>
                <w:szCs w:val="21"/>
              </w:rPr>
              <w:t xml:space="preserve">Will the Committee request the JSE to require AfroCentric to publish a corrective SENS announcement disclosing all matters omitted from the Integrated Annual Report 2025?</w:t>
            </w:r>
          </w:p>
        </w:tc>
      </w:tr>
    </w:tbl>
    <w:p>
      <w:pPr>
        <w:spacing w:after="120" w:before="120"/>
      </w:pPr>
      <w:r>
        <w:t xml:space="preserve"/>
      </w:r>
    </w:p>
    <w:p>
      <w:pPr>
        <w:pBdr>
          <w:bottom w:val="single" w:color="B01010" w:sz="6" w:space="2"/>
        </w:pBdr>
        <w:spacing w:after="100" w:before="280"/>
      </w:pPr>
      <w:r>
        <w:rPr>
          <w:rFonts w:ascii="Arial" w:cs="Arial" w:eastAsia="Arial" w:hAnsi="Arial"/>
          <w:b/>
          <w:bCs/>
          <w:color w:val="B01010"/>
          <w:sz w:val="28"/>
          <w:szCs w:val="28"/>
        </w:rPr>
        <w:t xml:space="preserve">4.4  Portfolio Committee on Justice and Correctional Services</w:t>
      </w:r>
    </w:p>
    <w:p>
      <w:pPr>
        <w:spacing w:after="80" w:before="80" w:line="276" w:lineRule="auto"/>
        <w:ind/>
      </w:pPr>
      <w:r>
        <w:rPr>
          <w:rFonts w:ascii="Arial" w:cs="Arial" w:eastAsia="Arial" w:hAnsi="Arial"/>
          <w:b w:val="false"/>
          <w:bCs w:val="false"/>
          <w:color w:val="2B2D42"/>
          <w:sz w:val="22"/>
          <w:szCs w:val="22"/>
        </w:rPr>
        <w:t xml:space="preserve">Constitutional mandate: Oversight over the judiciary, the Legal Practice Council, the SAHRC, the Public Protector, and access to justice.</w:t>
      </w:r>
    </w:p>
    <w:p>
      <w:pPr>
        <w:spacing w:after="80" w:before="80" w:line="276" w:lineRule="auto"/>
        <w:ind/>
      </w:pPr>
      <w:r>
        <w:rPr>
          <w:rFonts w:ascii="Arial" w:cs="Arial" w:eastAsia="Arial" w:hAnsi="Arial"/>
          <w:b w:val="false"/>
          <w:bCs w:val="false"/>
          <w:color w:val="2B2D42"/>
          <w:sz w:val="22"/>
          <w:szCs w:val="22"/>
        </w:rPr>
        <w:t xml:space="preserve">The evidence before this Committee concerns the failure of the justice system itself. The Western Cape High Court granted an ex parte interim interdict on 16 April 2026 after the employer’s attorneys, Deneys Reitz Inc., did not hand up the whistleblower’s answering affidavit — which had been served on them that morning — and did not inform the court that the matter was opposed. This is a fraud on the court. The order restrains the whistleblower from disclosing a systemic clinical risk to trade unions and regulatory bodies, overriding Section 9 of the PDA. The rule nisi has been extended to 1 March 2027 — nearly a year after the order was granted — effectively a final interdict without a final hearing. The employer threatened the whistleblower with contempt for petitioning Parliament. The SAHRC, a Chapter 9 institution, acknowledged the seriousness of allegations invoking Sections 10, 26, 27, and 33 of the Constitution, and then went silent after the complainant’s comprehensive update of 13 March 2026. The employer’s attorneys engaged in bad faith litigation culminating in a “without prejudice” letter that simultaneously threatened contempt and proposed an amicable resolution — a settlement overture used as a stalling tactic, followed by silence.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Why was the whistleblower’s answering affidavit — served on the employer’s attorneys on the morning of 16 April 2026 — not placed before Acting Justice Mphego? What consequence does that concealment have for the validity of the interim interdict and the liability of the attorneys?</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Why has the SAHRC not investigated a complaint that explicitly invoked Sections 10, 26, 27, and 33 of the Constitution, and that included evidence of confirmed eviction, no running water, and a documented life threat? Does the SAHRC consider its “redirection” to the CCMA — which has no jurisdiction over housing or water — to have fulfilled its constitutional mandate?</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Will the Committee refer the conduct of Deneys Reitz Inc. to the Legal Practice Council for threatening a citizen with contempt of court for exercising his Section 56 constitutional right to petition Parliament?</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4.  </w:t>
            </w:r>
            <w:r>
              <w:rPr>
                <w:rFonts w:ascii="Arial" w:cs="Arial" w:eastAsia="Arial" w:hAnsi="Arial"/>
                <w:color w:val="2B2D42"/>
                <w:sz w:val="21"/>
                <w:szCs w:val="21"/>
              </w:rPr>
              <w:t xml:space="preserve">Will the Committee refer the apparent perjury matrix — Vijay Makenjee’s sworn denial of awareness of Case 2026-077546 in the Labour Court, contradicted by the CEO’s sworn acknowledgment in the High Court — to the National Prosecuting Authority?</w:t>
            </w:r>
          </w:p>
        </w:tc>
      </w:tr>
    </w:tbl>
    <w:p>
      <w:pPr>
        <w:spacing w:after="120" w:before="120"/>
      </w:pPr>
      <w:r>
        <w:t xml:space="preserve"/>
      </w:r>
    </w:p>
    <w:p>
      <w:pPr>
        <w:pBdr>
          <w:bottom w:val="single" w:color="B01010" w:sz="6" w:space="2"/>
        </w:pBdr>
        <w:spacing w:after="100" w:before="280"/>
      </w:pPr>
      <w:r>
        <w:rPr>
          <w:rFonts w:ascii="Arial" w:cs="Arial" w:eastAsia="Arial" w:hAnsi="Arial"/>
          <w:b/>
          <w:bCs/>
          <w:color w:val="B01010"/>
          <w:sz w:val="28"/>
          <w:szCs w:val="28"/>
        </w:rPr>
        <w:t xml:space="preserve">4.5  Standing Committee on Public Accounts (SCOPA)</w:t>
      </w:r>
    </w:p>
    <w:p>
      <w:pPr>
        <w:spacing w:after="80" w:before="80" w:line="276" w:lineRule="auto"/>
        <w:ind/>
      </w:pPr>
      <w:r>
        <w:rPr>
          <w:rFonts w:ascii="Arial" w:cs="Arial" w:eastAsia="Arial" w:hAnsi="Arial"/>
          <w:b w:val="false"/>
          <w:bCs w:val="false"/>
          <w:color w:val="2B2D42"/>
          <w:sz w:val="22"/>
          <w:szCs w:val="22"/>
        </w:rPr>
        <w:t xml:space="preserve">Constitutional mandate: Oversight over the expenditure of public funds, state-contracted entities, and institutional accountability.</w:t>
      </w:r>
    </w:p>
    <w:p>
      <w:pPr>
        <w:spacing w:after="80" w:before="80" w:line="276" w:lineRule="auto"/>
        <w:ind/>
      </w:pPr>
      <w:r>
        <w:rPr>
          <w:rFonts w:ascii="Arial" w:cs="Arial" w:eastAsia="Arial" w:hAnsi="Arial"/>
          <w:b w:val="false"/>
          <w:bCs w:val="false"/>
          <w:color w:val="2B2D42"/>
          <w:sz w:val="22"/>
          <w:szCs w:val="22"/>
        </w:rPr>
        <w:t xml:space="preserve">GEMS is a statutory body administering medical scheme benefits for 1.9 million government employees and their dependants. It received two formal protected disclosures in April 2026, the second of which was 13 pages with 13 sections, citing the PDA, BCEA, LRA, EEA, UIF Act, Tax Administration Act, and a table of 11 institutions that had already failed. GEMS’ only response was a Vuvuzela Hotline auto-acknowledgement. The systemic Gexus-DMS integration gap may have inflated claims data affecting premium calculations and the use of public member contributions. AfroCentric’s Annual Report omitted a potential R580 million B-BBEE fine. The JSE declined to require disclosure.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How much public money (GEMS member contributions) may have been affected by the inflated claims data resulting from the Gexus-DMS integration gap, and has the Auditor-General been informed?</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Why has GEMS not investigated its administrator’s conduct — including the unlawful deduction, the false UI-19, the CRO suppression email, and the clinical data integrity failure — despite receiving two formal protected disclosures in April 2026?</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Will SCOPA request the Auditor-General to conduct a forensic audit of Medscheme’s administration of GEMS, specifically the Gexus-DMS integration gap and its actuarial implications?</w:t>
            </w:r>
          </w:p>
        </w:tc>
      </w:tr>
    </w:tbl>
    <w:p>
      <w:pPr>
        <w:spacing w:after="120" w:before="120"/>
      </w:pPr>
      <w:r>
        <w:t xml:space="preserve"/>
      </w:r>
    </w:p>
    <w:p>
      <w:pPr>
        <w:pBdr>
          <w:bottom w:val="single" w:color="B01010" w:sz="6" w:space="2"/>
        </w:pBdr>
        <w:spacing w:after="100" w:before="280"/>
      </w:pPr>
      <w:r>
        <w:rPr>
          <w:rFonts w:ascii="Arial" w:cs="Arial" w:eastAsia="Arial" w:hAnsi="Arial"/>
          <w:b/>
          <w:bCs/>
          <w:color w:val="B01010"/>
          <w:sz w:val="28"/>
          <w:szCs w:val="28"/>
        </w:rPr>
        <w:t xml:space="preserve">4.6  Portfolio Committee on Police</w:t>
      </w:r>
    </w:p>
    <w:p>
      <w:pPr>
        <w:spacing w:after="80" w:before="80" w:line="276" w:lineRule="auto"/>
        <w:ind/>
      </w:pPr>
      <w:r>
        <w:rPr>
          <w:rFonts w:ascii="Arial" w:cs="Arial" w:eastAsia="Arial" w:hAnsi="Arial"/>
          <w:b w:val="false"/>
          <w:bCs w:val="false"/>
          <w:color w:val="2B2D42"/>
          <w:sz w:val="22"/>
          <w:szCs w:val="22"/>
        </w:rPr>
        <w:t xml:space="preserve">Constitutional mandate: Oversight over the SAPS, IPID, and the Criminal Procedure Act.</w:t>
      </w:r>
    </w:p>
    <w:p>
      <w:pPr>
        <w:spacing w:after="80" w:before="80" w:line="276" w:lineRule="auto"/>
        <w:ind/>
      </w:pPr>
      <w:r>
        <w:rPr>
          <w:rFonts w:ascii="Arial" w:cs="Arial" w:eastAsia="Arial" w:hAnsi="Arial"/>
          <w:b w:val="false"/>
          <w:bCs w:val="false"/>
          <w:color w:val="2B2D42"/>
          <w:sz w:val="22"/>
          <w:szCs w:val="22"/>
        </w:rPr>
        <w:t xml:space="preserve">On 23 February 2026, the complainant attended SAPS Delft to open a criminal case for UIF non-remittance, a statutory offence under the Unemployment Insurance Contributions Act 4 of 2002. A police officer who falsely claimed to be the station commander refused to open a case. That interaction is audio-recorded. After escalation to Brigadier Naidoo, case CAS 705/3/2026 was registered and transferred to Woodstock. No investigation has taken place. The internal complaint against Delft was closed on the basis that a case number had been allocated — without ever addressing the false representation of rank.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Why did SAPS Delft refuse to open a criminal case for documented UIF fraud — a statutory offence for which the complainant presented payslips, uFiling portal screenshots, and written false representations from senior HR officials?</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What action has been taken against the police officer who falsely claimed to be the station commander? Has the audio recording been retrieved and analysed by IPID or by SAPS Internal Affairs?</w:t>
            </w:r>
          </w:p>
        </w:tc>
      </w:tr>
      <w:tr>
        <w:tc>
          <w:tcPr>
            <w:tcW w:type="dxa" w:w="9360"/>
            <w:tcBorders>
              <w:top w:val="single" w:color="CCCCCC" w:sz="4"/>
              <w:left w:val="single" w:color="CCCCCC" w:sz="4"/>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Why has no investigation taken place under CAS 705/3/2026 since its registration more than three months ago, and why was the internal Delft complaint closed without addressing the false representation of rank?</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FIVE: FORENSIC INSTITUTIONAL REPORT — COUNCIL FOR MEDICAL SCHEMES</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5.1  Executive Summary of Findings</w:t>
      </w:r>
    </w:p>
    <w:p>
      <w:pPr>
        <w:spacing w:after="80" w:before="80" w:line="276" w:lineRule="auto"/>
        <w:ind/>
      </w:pPr>
      <w:r>
        <w:rPr>
          <w:rFonts w:ascii="Arial" w:cs="Arial" w:eastAsia="Arial" w:hAnsi="Arial"/>
          <w:b w:val="false"/>
          <w:bCs w:val="false"/>
          <w:color w:val="2B2D42"/>
          <w:sz w:val="22"/>
          <w:szCs w:val="22"/>
        </w:rPr>
        <w:t xml:space="preserve">The Council for Medical Schemes (CMS) has systematically avoided its statutory mandate under Sections 7, 47, 58, and 44 of the Medical Schemes Act 131 of 1998 despite being placed on formal notice of a documented Priority 1 system integration failure affecting GEMS beneficiaries. The CMS declined jurisdiction twice, demanded procedural compliance that would have placed the whistleblower in contempt of a High Court order, participated in jurisdictional ping-pong with three other regulators, exercised jurisdiction over a comparable Discovery Health system error while refusing it for Medscheme/GEMS, and remained silent in the face of a documented life threat invoking the Protected Disclosures Act. The consequence is not merely that a whistleblower was abandoned. The consequence is that a Priority 1 clinical risk affecting 1.9 million government employees remains unaddressed — and the regulator that will oversee NHI accreditation has demonstrated it will protect the administrator rather than the patient.</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5.2  The Clinical Risk the CMS Refused to Investigate</w:t>
      </w:r>
    </w:p>
    <w:p>
      <w:pPr>
        <w:spacing w:after="80" w:before="80" w:line="276" w:lineRule="auto"/>
        <w:ind/>
      </w:pPr>
      <w:r>
        <w:rPr>
          <w:rFonts w:ascii="Arial" w:cs="Arial" w:eastAsia="Arial" w:hAnsi="Arial"/>
          <w:b w:val="false"/>
          <w:bCs w:val="false"/>
          <w:color w:val="2B2D42"/>
          <w:sz w:val="22"/>
          <w:szCs w:val="22"/>
        </w:rPr>
        <w:t xml:space="preserve">The Gexus-DMS integration gap was not a theoretical risk. It was a documented, system-confirmed structural failure in the integration between two clinical data platforms used by Medscheme to manage GEMS beneficiaries’ chronic disease profiles. The gap caused automated non-adherence letters to be generated and sent to patients who were, in fact, adhering to their treatment plans. The employer’s own Root Cause Analysis — document reference VICT1 — confirmed the structural nature of the gap, describing “miscommunication between Gexus and DMS systems” and identifying “system integration gaps” as the root cause. The clinical consequence was that a patient like the 75-year-old widow with GEMS reference 000655789 Dependent 02 received two false non-adherence letters across a six-month period, despite collecting her cholesterol medication every month without fail.</w:t>
      </w:r>
    </w:p>
    <w:p>
      <w:pPr>
        <w:spacing w:after="80" w:before="80" w:line="276" w:lineRule="auto"/>
        <w:ind/>
      </w:pPr>
      <w:r>
        <w:rPr>
          <w:rFonts w:ascii="Arial" w:cs="Arial" w:eastAsia="Arial" w:hAnsi="Arial"/>
          <w:b w:val="false"/>
          <w:bCs w:val="false"/>
          <w:color w:val="2B2D42"/>
          <w:sz w:val="22"/>
          <w:szCs w:val="22"/>
        </w:rPr>
        <w:t xml:space="preserve">The complainant identified this gap, raised it internally, refused to propagate the false data to patients, and made a formal protected disclosure. Medscheme’s internal investigation confirmed his finding. The CMS was formally notified on 23 December 2025, and again on 20 January, 16 February, 20 March, and 2 April 2026. In response to five formal notifications across four months, the CMS declined jurisdiction twice and demanded new complaint forms.</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5.3  Factual Chronology of CMS Engagement</w:t>
      </w:r>
    </w:p>
    <w:p>
      <w:pPr>
        <w:spacing w:after="80" w:before="80" w:line="276" w:lineRule="auto"/>
        <w:ind/>
      </w:pPr>
      <w:r>
        <w:rPr>
          <w:rFonts w:ascii="Arial" w:cs="Arial" w:eastAsia="Arial" w:hAnsi="Arial"/>
          <w:b w:val="false"/>
          <w:bCs w:val="false"/>
          <w:color w:val="2B2D42"/>
          <w:sz w:val="22"/>
          <w:szCs w:val="22"/>
        </w:rPr>
        <w:t xml:space="preserve">On 23 December 2025, the complainant lodged an initial complaint with the CMS, including a 342KB evidence bundle and a 4.4MB attachment. On 9 January 2026, the CMS acknowledged receipt and demanded a completed complaint form — despite already having received a detailed complaint with two substantial evidence bundles. On 20 January 2026, the complainant submitted the completed CMS complaint form.</w:t>
      </w:r>
    </w:p>
    <w:p>
      <w:pPr>
        <w:spacing w:after="80" w:before="80" w:line="276" w:lineRule="auto"/>
        <w:ind/>
      </w:pPr>
      <w:r>
        <w:rPr>
          <w:rFonts w:ascii="Arial" w:cs="Arial" w:eastAsia="Arial" w:hAnsi="Arial"/>
          <w:b w:val="false"/>
          <w:bCs w:val="false"/>
          <w:color w:val="2B2D42"/>
          <w:sz w:val="22"/>
          <w:szCs w:val="22"/>
        </w:rPr>
        <w:t xml:space="preserve">On 4 February 2026, the CMS declined jurisdiction and referred the complainant to the HPCSA. On 16 February 2026, the complainant wrote again to CMS, correcting an earlier overstatement and asking specifically whether the CMS could confirm that the Gexus-DMS gap had been corrected as a patient safety matter. The CMS did not respond to that specific question. On 20 March 2026, the complainant followed up again regarding the uncorrected gap.</w:t>
      </w:r>
    </w:p>
    <w:p>
      <w:pPr>
        <w:spacing w:after="80" w:before="80" w:line="276" w:lineRule="auto"/>
        <w:ind/>
      </w:pPr>
      <w:r>
        <w:rPr>
          <w:rFonts w:ascii="Arial" w:cs="Arial" w:eastAsia="Arial" w:hAnsi="Arial"/>
          <w:b w:val="false"/>
          <w:bCs w:val="false"/>
          <w:color w:val="2B2D42"/>
          <w:sz w:val="22"/>
          <w:szCs w:val="22"/>
        </w:rPr>
        <w:t xml:space="preserve">On 2 April 2026, the complainant submitted a formal 5-page legal re-engagement to the CMS, reframing the complaint as maladministration under MSA Sections 7, 47, 58, and 44, citing the Discovery Health precedent, and giving 15 business days for a substantive response. The CMS responded with an auto-reply stating the matter was “receiving attention.” On 14 April 2026, the complainant sent an urgent joint ethical ruling request to all four health regulators, explicitly noting an imminent life threat and giving a 48-hour deadline.</w:t>
      </w:r>
    </w:p>
    <w:p>
      <w:pPr>
        <w:spacing w:after="80" w:before="80" w:line="276" w:lineRule="auto"/>
        <w:ind/>
      </w:pPr>
      <w:r>
        <w:rPr>
          <w:rFonts w:ascii="Arial" w:cs="Arial" w:eastAsia="Arial" w:hAnsi="Arial"/>
          <w:b w:val="false"/>
          <w:bCs w:val="false"/>
          <w:color w:val="2B2D42"/>
          <w:sz w:val="22"/>
          <w:szCs w:val="22"/>
        </w:rPr>
        <w:t xml:space="preserve">On 16 April 2026, the High Court granted the interim interdict against the complainant, restraining him from disclosing information about the Gexus-DMS gap. On 7 May 2026, the CMS finally responded with substance — declining jurisdiction a second time and demanding that the complainant complete a new complaint form specifying the relevant MSA provisions. The CMS did not acknowledge the High Court order. Completing that form would have required the complainant to disclose information restricted by the court order, potentially exposing him to a contempt application.</w:t>
      </w:r>
    </w:p>
    <w:p>
      <w:pPr>
        <w:spacing w:after="80" w:before="80" w:line="276" w:lineRule="auto"/>
        <w:ind/>
      </w:pPr>
      <w:r>
        <w:rPr>
          <w:rFonts w:ascii="Arial" w:cs="Arial" w:eastAsia="Arial" w:hAnsi="Arial"/>
          <w:b w:val="false"/>
          <w:bCs w:val="false"/>
          <w:color w:val="2B2D42"/>
          <w:sz w:val="22"/>
          <w:szCs w:val="22"/>
        </w:rPr>
        <w:t xml:space="preserve">On 7 May 2026 at 17:03, the complainant replied, notifying the CMS of the court order and refusing to complete the form on grounds of potential contempt. The CMS did not respond. No investigation has been opened. The Gexus-DMS gap remains unaddressed.</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5.4  Key Forensic Findings</w:t>
      </w:r>
    </w:p>
    <w:p>
      <w:pPr>
        <w:spacing w:after="80" w:before="200"/>
      </w:pPr>
      <w:r>
        <w:rPr>
          <w:rFonts w:ascii="Arial" w:cs="Arial" w:eastAsia="Arial" w:hAnsi="Arial"/>
          <w:b/>
          <w:bCs/>
          <w:color w:val="2B2D42"/>
          <w:sz w:val="24"/>
          <w:szCs w:val="24"/>
        </w:rPr>
        <w:t xml:space="preserve">Finding 1: Disparate Treatment — Discovery Health vs Medscheme/GEMS</w:t>
      </w:r>
    </w:p>
    <w:p>
      <w:pPr>
        <w:spacing w:after="80" w:before="80" w:line="276" w:lineRule="auto"/>
        <w:ind/>
      </w:pPr>
      <w:r>
        <w:rPr>
          <w:rFonts w:ascii="Arial" w:cs="Arial" w:eastAsia="Arial" w:hAnsi="Arial"/>
          <w:b w:val="false"/>
          <w:bCs w:val="false"/>
          <w:color w:val="2B2D42"/>
          <w:sz w:val="22"/>
          <w:szCs w:val="22"/>
        </w:rPr>
        <w:t xml:space="preserve">The CMS exercised jurisdiction over a pharmacy claims processing error at Discovery Health that affected 16,507 members in January 2026, intervening without waiting for formal complaints and placing the recovery process under scrutiny. In the same period, the CMS refused jurisdiction over a structural integration gap at Medscheme that generated false non-adherence letters to chronic GEMS patients. The two situations are materially analogous: both involved a system error causing incorrect clinical communications to members of a regulated medical scheme. The CMS applied different standards to the two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CMS re-engagement letter 2 April 2026, citing Discovery Health precedent with Moonstone and MedicalBrief references. CMS declined to distinguish the cases on any principled basis.</w:t>
            </w:r>
          </w:p>
        </w:tc>
      </w:tr>
    </w:tbl>
    <w:p>
      <w:pPr>
        <w:spacing w:after="80" w:before="80" w:line="276" w:lineRule="auto"/>
        <w:ind/>
      </w:pPr>
      <w:r>
        <w:rPr>
          <w:rFonts w:ascii="Arial" w:cs="Arial" w:eastAsia="Arial" w:hAnsi="Arial"/>
          <w:b w:val="false"/>
          <w:bCs w:val="false"/>
          <w:color w:val="2B2D42"/>
          <w:sz w:val="22"/>
          <w:szCs w:val="22"/>
        </w:rPr>
        <w:t xml:space="preserve">This disparity cannot be explained by statutory mandate. It is indicative of regulatory capture — the CMS protecting a powerful private administrator (Medscheme/GEMS) from accountability that it would not extend to others.</w:t>
      </w:r>
    </w:p>
    <w:p>
      <w:pPr>
        <w:spacing w:after="60" w:before="60"/>
      </w:pPr>
      <w:r>
        <w:t xml:space="preserve"/>
      </w:r>
    </w:p>
    <w:p>
      <w:pPr>
        <w:spacing w:after="80" w:before="200"/>
      </w:pPr>
      <w:r>
        <w:rPr>
          <w:rFonts w:ascii="Arial" w:cs="Arial" w:eastAsia="Arial" w:hAnsi="Arial"/>
          <w:b/>
          <w:bCs/>
          <w:color w:val="2B2D42"/>
          <w:sz w:val="24"/>
          <w:szCs w:val="24"/>
        </w:rPr>
        <w:t xml:space="preserve">Finding 2: The Contempt Trap — Bad Faith Demand on 7 May 2026</w:t>
      </w:r>
    </w:p>
    <w:p>
      <w:pPr>
        <w:spacing w:after="80" w:before="80" w:line="276" w:lineRule="auto"/>
        <w:ind/>
      </w:pPr>
      <w:r>
        <w:rPr>
          <w:rFonts w:ascii="Arial" w:cs="Arial" w:eastAsia="Arial" w:hAnsi="Arial"/>
          <w:b w:val="false"/>
          <w:bCs w:val="false"/>
          <w:color w:val="2B2D42"/>
          <w:sz w:val="22"/>
          <w:szCs w:val="22"/>
        </w:rPr>
        <w:t xml:space="preserve">The CMS’s demand of 7 May 2026 — that the complainant complete a new form disclosing information about the Gexus-DMS gap — was made after the CMS had been formally notified, in the complainant’s correspondence of 14 April 2026, that an interim interdict was imminent. The interdict was granted on 16 April 2026. The CMS did not check its own correspondence before making the 7 May demand. Completing that form would have required the complainant to disclose operational details restricted by the court order, risking a contempt application by the employer. The CMS either did not read its own records, or read them and ignored the court order. Either way, the demand was procedurally unfair and constitutes maladministration.</w:t>
      </w:r>
    </w:p>
    <w:p>
      <w:pPr>
        <w:spacing w:after="60" w:before="60"/>
      </w:pPr>
      <w:r>
        <w:t xml:space="preserve"/>
      </w:r>
    </w:p>
    <w:p>
      <w:pPr>
        <w:spacing w:after="80" w:before="200"/>
      </w:pPr>
      <w:r>
        <w:rPr>
          <w:rFonts w:ascii="Arial" w:cs="Arial" w:eastAsia="Arial" w:hAnsi="Arial"/>
          <w:b/>
          <w:bCs/>
          <w:color w:val="2B2D42"/>
          <w:sz w:val="24"/>
          <w:szCs w:val="24"/>
        </w:rPr>
        <w:t xml:space="preserve">Finding 3: Jurisdictional Ping-Pong — No Regulator Answered the Ethical Question</w:t>
      </w:r>
    </w:p>
    <w:p>
      <w:pPr>
        <w:spacing w:after="80" w:before="80" w:line="276" w:lineRule="auto"/>
        <w:ind/>
      </w:pPr>
      <w:r>
        <w:rPr>
          <w:rFonts w:ascii="Arial" w:cs="Arial" w:eastAsia="Arial" w:hAnsi="Arial"/>
          <w:b w:val="false"/>
          <w:bCs w:val="false"/>
          <w:color w:val="2B2D42"/>
          <w:sz w:val="22"/>
          <w:szCs w:val="22"/>
        </w:rPr>
        <w:t xml:space="preserve">On 14 April 2026, the complainant posed a single, direct question to all four health regulators: whether a registered professional may refuse an employer’s instruction based on verified flawed forensic data when that data is intended to suppress a clinical risk. This question is foundational to every health profession’s ethical obligations. The CMS referred to HPCSA. HPCSA referred to SANC. SANC never acknowledged. SAPC held a meeting, showed hesitation, and declined. No regulator answered. The complainant explicitly warned: “If each Council believes the other has jurisdiction, then none of you are fulfilling your statutory mandates.” That warning was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CMS Final Notice 7 May 2026, p.2-6, containing the joint ethical ruling request and the four regulators’ respective non-responses.</w:t>
            </w:r>
          </w:p>
        </w:tc>
      </w:tr>
    </w:tbl>
    <w:p>
      <w:pPr>
        <w:spacing w:after="60" w:before="60"/>
      </w:pPr>
      <w:r>
        <w:t xml:space="preserve"/>
      </w:r>
    </w:p>
    <w:p>
      <w:pPr>
        <w:spacing w:after="80" w:before="200"/>
      </w:pPr>
      <w:r>
        <w:rPr>
          <w:rFonts w:ascii="Arial" w:cs="Arial" w:eastAsia="Arial" w:hAnsi="Arial"/>
          <w:b/>
          <w:bCs/>
          <w:color w:val="2B2D42"/>
          <w:sz w:val="24"/>
          <w:szCs w:val="24"/>
        </w:rPr>
        <w:t xml:space="preserve">Finding 4: Failure to Act on a Documented Life Threat</w:t>
      </w:r>
    </w:p>
    <w:p>
      <w:pPr>
        <w:spacing w:after="80" w:before="80" w:line="276" w:lineRule="auto"/>
        <w:ind/>
      </w:pPr>
      <w:r>
        <w:rPr>
          <w:rFonts w:ascii="Arial" w:cs="Arial" w:eastAsia="Arial" w:hAnsi="Arial"/>
          <w:b w:val="false"/>
          <w:bCs w:val="false"/>
          <w:color w:val="2B2D42"/>
          <w:sz w:val="22"/>
          <w:szCs w:val="22"/>
        </w:rPr>
        <w:t xml:space="preserve">The complainant’s 14 April 2026 notification to the CMS included an explicit statement that, due to retaliatory action, he currently lacked funds for food or accommodation, that his life, dignity, and constitutional rights had been violated, and that the delay in regulatory intervention constituted an ongoing, independent form of occupational detriment under the PDA. The CMS’s response on 7 May 2026 — three weeks later — did not acknowledge the life threat, did not offer any emergency protection mechanism, and did not engage with the PDA. This is dereliction of duty.</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5.5  Statutory Duties Breached by CMS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Provision</w:t>
            </w:r>
          </w:p>
        </w:tc>
        <w:tc>
          <w:tcPr>
            <w:tcW w:type="dxa" w:w="61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How CMS Breached It</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MSA Section 7 — Protect interests of beneficiaries</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Allowed a confirmed system error to continue generating false non-adherence letters to elderly chronic patients, despite five formal notifications.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MSA Section 47 — Investigate complaints of maladministration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Refused to investigate the Gexus-DMS gap after being placed on formal notice with RCA evidence.</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MSA Section 58 — Ensure administrators meet accreditation standards</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Did not review Medscheme’s accreditation status despite a Priority 1 IT integrity failure.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MSA Section 44 — Power to conduct forensic inspection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Did not exercise inspection powers even after being notified of the CRO’s suppression of a material risk report.</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Protected Disclosures Act 26 of 2000, Section 1</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Ignored the complainant’s invocation of the Act; did not act to prevent ongoing occupational detriment including destitution.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Constitution, Section 33 — Just administrative action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The 7 May demand (potential contempt trap) was procedurally unfair, unreasonable, and unlawful.</w:t>
            </w:r>
          </w:p>
        </w:tc>
      </w:tr>
    </w:tbl>
    <w:p>
      <w:pPr>
        <w:spacing w:after="120" w:before="120"/>
      </w:pPr>
      <w:r>
        <w:t xml:space="preserve"/>
      </w:r>
    </w:p>
    <w:p>
      <w:pPr>
        <w:pBdr>
          <w:bottom w:val="single" w:color="B01010" w:sz="6" w:space="2"/>
        </w:pBdr>
        <w:spacing w:after="100" w:before="280"/>
      </w:pPr>
      <w:r>
        <w:rPr>
          <w:rFonts w:ascii="Arial" w:cs="Arial" w:eastAsia="Arial" w:hAnsi="Arial"/>
          <w:b/>
          <w:bCs/>
          <w:color w:val="B01010"/>
          <w:sz w:val="28"/>
          <w:szCs w:val="28"/>
        </w:rPr>
        <w:t xml:space="preserve">5.6  Recommendations — CMS</w:t>
      </w:r>
    </w:p>
    <w:p>
      <w:pPr>
        <w:pStyle w:val="ListParagraph"/>
        <w:numPr>
          <w:ilvl w:val="0"/>
          <w:numId w:val="2"/>
        </w:numPr>
        <w:spacing w:after="60" w:before="60"/>
      </w:pPr>
      <w:r>
        <w:rPr>
          <w:rFonts w:ascii="Arial" w:cs="Arial" w:eastAsia="Arial" w:hAnsi="Arial"/>
          <w:color w:val="2B2D42"/>
          <w:sz w:val="22"/>
          <w:szCs w:val="22"/>
        </w:rPr>
        <w:t xml:space="preserve">The Portfolio Committee on Health must summon the CMS Registrar to appear and explain: why the CMS declined jurisdiction over the Gexus-DMS gap while exercising jurisdiction over the Discovery Health system error; why the CMS demanded a new complaint form on 7 May 2026 without acknowledging the High Court order; and why the CMS has not conducted a Section 44 forensic inspection of Medscheme despite being placed on formal notice of the suppression of a Priority 1 risk report.</w:t>
      </w:r>
    </w:p>
    <w:p>
      <w:pPr>
        <w:pStyle w:val="ListParagraph"/>
        <w:numPr>
          <w:ilvl w:val="0"/>
          <w:numId w:val="2"/>
        </w:numPr>
        <w:spacing w:after="60" w:before="60"/>
      </w:pPr>
      <w:r>
        <w:rPr>
          <w:rFonts w:ascii="Arial" w:cs="Arial" w:eastAsia="Arial" w:hAnsi="Arial"/>
          <w:color w:val="2B2D42"/>
          <w:sz w:val="22"/>
          <w:szCs w:val="22"/>
        </w:rPr>
        <w:t xml:space="preserve">The Portfolio Committee must request the Minister of Health to issue a directive compelling the CMS to investigate the Gexus-DMS gap under MSA Sections 7, 44, 47, and 58, and to report to Parliament within 30 days on the steps taken to address the clinical risk to GEMS members.</w:t>
      </w:r>
    </w:p>
    <w:p>
      <w:pPr>
        <w:pStyle w:val="ListParagraph"/>
        <w:numPr>
          <w:ilvl w:val="0"/>
          <w:numId w:val="2"/>
        </w:numPr>
        <w:spacing w:after="60" w:before="60"/>
      </w:pPr>
      <w:r>
        <w:rPr>
          <w:rFonts w:ascii="Arial" w:cs="Arial" w:eastAsia="Arial" w:hAnsi="Arial"/>
          <w:color w:val="2B2D42"/>
          <w:sz w:val="22"/>
          <w:szCs w:val="22"/>
        </w:rPr>
        <w:t xml:space="preserve">Parliament must refer the matter to the Public Protector for an investigation into maladministration by the CMS, including the potential contempt trap of the 7 May demand.</w:t>
      </w:r>
    </w:p>
    <w:p>
      <w:pPr>
        <w:pStyle w:val="ListParagraph"/>
        <w:numPr>
          <w:ilvl w:val="0"/>
          <w:numId w:val="2"/>
        </w:numPr>
        <w:spacing w:after="60" w:before="60"/>
      </w:pPr>
      <w:r>
        <w:rPr>
          <w:rFonts w:ascii="Arial" w:cs="Arial" w:eastAsia="Arial" w:hAnsi="Arial"/>
          <w:color w:val="2B2D42"/>
          <w:sz w:val="22"/>
          <w:szCs w:val="22"/>
        </w:rPr>
        <w:t xml:space="preserve">Parliament must amend the Medical Schemes Act to explicitly include IT system integrity as a non-delegable duty of administrators and to create a private right of action for whistleblowers against regulators who fail to act on protected disclosures.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single" w:color="B01010" w:sz="24"/>
              <w:bottom w:val="single" w:color="B01010" w:sz="12"/>
              <w:right w:val="single" w:color="CCCCCC" w:sz="4"/>
            </w:tcBorders>
            <w:shd w:fill="FFF0F0" w:val="clear"/>
            <w:tcMar>
              <w:top w:type="dxa" w:w="160"/>
              <w:left w:type="dxa" w:w="240"/>
              <w:bottom w:type="dxa" w:w="160"/>
              <w:right w:type="dxa" w:w="240"/>
            </w:tcMar>
          </w:tcPr>
          <w:p>
            <w:pPr>
              <w:spacing w:after="60" w:before="0"/>
            </w:pPr>
            <w:r>
              <w:rPr>
                <w:rFonts w:ascii="Arial" w:cs="Arial" w:eastAsia="Arial" w:hAnsi="Arial"/>
                <w:b/>
                <w:bCs/>
                <w:color w:val="B01010"/>
                <w:sz w:val="20"/>
                <w:szCs w:val="20"/>
              </w:rPr>
              <w:t xml:space="preserve">FORENSIC CONCLUSION — CMS</w:t>
            </w:r>
          </w:p>
          <w:p>
            <w:pPr>
              <w:spacing w:after="0" w:before="0"/>
            </w:pPr>
            <w:r>
              <w:rPr>
                <w:rFonts w:ascii="Arial" w:cs="Arial" w:eastAsia="Arial" w:hAnsi="Arial"/>
                <w:color w:val="2B2D42"/>
                <w:sz w:val="21"/>
                <w:szCs w:val="21"/>
              </w:rPr>
              <w:t xml:space="preserve">The Council for Medical Schemes has failed the very beneficiaries it is mandated to protect. It has acted not as an impartial regulator but as a shield for Medscheme Holdings and GEMS. Its conduct — jurisdictional ping-pong, procedural obstruction, disparate treatment, and a potentially contemptuous demand — demonstrates regulatory capture of the most dangerous kind. The whistleblower did everything right. His reward was destitution and silence from every regulator. Parliament must compel the CMS to discharge its mandate — and where capture is proven, Parliament must break it.</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SIX: FORENSIC INSTITUTIONAL REPORT — THE FOUR HEALTH REGULATORS: A CARTEL OF SILENCE</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The CMS, HPCSA, SANC, and SAPC are the four statutory bodies mandated to regulate healthcare administrators, health professionals, nurses, and pharmacists in South Africa. All four will play critical oversight roles under the NHI. All four were formally approached by the complainant. Not one of them answered the central ethical question. Not one of them protected the patient. Not one of them protected the whistleblower. This section documents how they achieved that collective failure through a combination of jurisdictional deflection, institutional silence, and deliberate avoidance of the substantive question that confronted all four simultaneously.</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6.1  The South African Nursing Council (SANC)</w:t>
      </w:r>
    </w:p>
    <w:p>
      <w:pPr>
        <w:spacing w:after="80" w:before="200"/>
      </w:pPr>
      <w:r>
        <w:rPr>
          <w:rFonts w:ascii="Arial" w:cs="Arial" w:eastAsia="Arial" w:hAnsi="Arial"/>
          <w:b/>
          <w:bCs/>
          <w:color w:val="2B2D42"/>
          <w:sz w:val="24"/>
          <w:szCs w:val="24"/>
        </w:rPr>
        <w:t xml:space="preserve">The Complaint Filed</w:t>
      </w:r>
    </w:p>
    <w:p>
      <w:pPr>
        <w:spacing w:after="80" w:before="80" w:line="276" w:lineRule="auto"/>
        <w:ind/>
      </w:pPr>
      <w:r>
        <w:rPr>
          <w:rFonts w:ascii="Arial" w:cs="Arial" w:eastAsia="Arial" w:hAnsi="Arial"/>
          <w:b w:val="false"/>
          <w:bCs w:val="false"/>
          <w:color w:val="2B2D42"/>
          <w:sz w:val="22"/>
          <w:szCs w:val="22"/>
        </w:rPr>
        <w:t xml:space="preserve">On 10 February 2026, the complainant submitted a formal 9-page misconduct complaint to SANC against Mary-Ann Jones and Mapule Mashele, both registered nurses employed by Medscheme in supervisory roles over the complainant. The complaint was supported by 12 annexures and cited specific SANC Code of Ethics clauses — including Clause 2.1 (dignity), 2.3 (non-discrimination), 3.1 (duty of care), 4 (confidentiality), 6 (integrity), 7 (advocacy), and 8 (leadership) — as well as Nursing Act Section 56(1)(a), (c), (d) and SANC Rules 15(1)(c), (h), (k), (m). The complainant explicitly requested acknowledgment, registration of the complaint, investigation by the Preliminary Investigating Committee, summons of the respondents, and potential sanctions.</w:t>
      </w:r>
    </w:p>
    <w:p>
      <w:pPr>
        <w:spacing w:after="80" w:before="80" w:line="276" w:lineRule="auto"/>
        <w:ind/>
      </w:pPr>
      <w:r>
        <w:rPr>
          <w:rFonts w:ascii="Arial" w:cs="Arial" w:eastAsia="Arial" w:hAnsi="Arial"/>
          <w:b w:val="false"/>
          <w:bCs w:val="false"/>
          <w:color w:val="2B2D42"/>
          <w:sz w:val="22"/>
          <w:szCs w:val="22"/>
        </w:rPr>
        <w:t xml:space="preserve">The complaint detailed how the respondents had suppressed a Priority 1 Material Risk Report regarding the Gexus-DMS integration failure, subjected the complainant to gender-identity harassment, participated in retaliatory leave loading, and failed in their duty of care to both the patient population and the nurse-whistleblower who had identified the clinical risk.</w:t>
      </w:r>
    </w:p>
    <w:p>
      <w:pPr>
        <w:spacing w:after="80" w:before="200"/>
      </w:pPr>
      <w:r>
        <w:rPr>
          <w:rFonts w:ascii="Arial" w:cs="Arial" w:eastAsia="Arial" w:hAnsi="Arial"/>
          <w:b/>
          <w:bCs/>
          <w:color w:val="2B2D42"/>
          <w:sz w:val="24"/>
          <w:szCs w:val="24"/>
        </w:rPr>
        <w:t xml:space="preserve">What SANC Did</w:t>
      </w:r>
    </w:p>
    <w:p>
      <w:pPr>
        <w:spacing w:after="80" w:before="80" w:line="276" w:lineRule="auto"/>
        <w:ind/>
      </w:pPr>
      <w:r>
        <w:rPr>
          <w:rFonts w:ascii="Arial" w:cs="Arial" w:eastAsia="Arial" w:hAnsi="Arial"/>
          <w:b w:val="false"/>
          <w:bCs w:val="false"/>
          <w:color w:val="2B2D42"/>
          <w:sz w:val="22"/>
          <w:szCs w:val="22"/>
        </w:rPr>
        <w:t xml:space="preserve">Nothing. On the same day the complaint was filed — 10 February 2026 — the complainant also filed a Ministerial Escalation with the Minister of Health, noting that SANC had already failed to acknowledge his complaint within six days. On 14 April 2026, the complainant included a “Notice of Regulatory Failure (SANC)” in his joint ethical ruling request, stating that SANC had failed to acknowledge or investigate and characterising its silence as institutional bad faith. He gave a 48-hour deadline. The deadline passed without response. SANC has never acknowledged or investigated the complaint.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Formal SANC complaint (9 pages, 12 annexures), 10 February 2026; Ministerial Escalation, same date; Joint Ethical Ruling Request, 14 April 2026 (CMS Final Notice 7 May 26.PDF, p.2-3). No SANC response in any document.</w:t>
            </w:r>
          </w:p>
        </w:tc>
      </w:tr>
    </w:tbl>
    <w:p>
      <w:pPr>
        <w:spacing w:after="80" w:before="200"/>
      </w:pPr>
      <w:r>
        <w:rPr>
          <w:rFonts w:ascii="Arial" w:cs="Arial" w:eastAsia="Arial" w:hAnsi="Arial"/>
          <w:b/>
          <w:bCs/>
          <w:color w:val="2B2D42"/>
          <w:sz w:val="24"/>
          <w:szCs w:val="24"/>
        </w:rPr>
        <w:t xml:space="preserve">The Deregistration</w:t>
      </w:r>
    </w:p>
    <w:p>
      <w:pPr>
        <w:spacing w:after="80" w:before="80" w:line="276" w:lineRule="auto"/>
        <w:ind/>
      </w:pPr>
      <w:r>
        <w:rPr>
          <w:rFonts w:ascii="Arial" w:cs="Arial" w:eastAsia="Arial" w:hAnsi="Arial"/>
          <w:b w:val="false"/>
          <w:bCs w:val="false"/>
          <w:color w:val="2B2D42"/>
          <w:sz w:val="22"/>
          <w:szCs w:val="22"/>
        </w:rPr>
        <w:t xml:space="preserve">While ignoring the misconduct complaint filed against its registrants, SANC simultaneously deregistered the complainant for non-payment of his R870 annual registration fee — a fee he could not pay because the employer’s unlawful deduction had wiped out 40.47% of his salary in a single month, causing him to fall into debt and ultimately lose his home. The institution tasked with upholding nursing ethics deregistered the nurse who had upheld nursing ethics — because his employer had rendered him too poor to pay his registration fee. This is institutional perversity of the highest order.</w:t>
      </w:r>
    </w:p>
    <w:p>
      <w:pPr>
        <w:spacing w:after="80" w:before="200"/>
      </w:pPr>
      <w:r>
        <w:rPr>
          <w:rFonts w:ascii="Arial" w:cs="Arial" w:eastAsia="Arial" w:hAnsi="Arial"/>
          <w:b/>
          <w:bCs/>
          <w:color w:val="2B2D42"/>
          <w:sz w:val="24"/>
          <w:szCs w:val="24"/>
        </w:rPr>
        <w:t xml:space="preserve">Forensic Finding</w:t>
      </w:r>
    </w:p>
    <w:p>
      <w:pPr>
        <w:spacing w:after="80" w:before="80" w:line="276" w:lineRule="auto"/>
        <w:ind/>
      </w:pPr>
      <w:r>
        <w:rPr>
          <w:rFonts w:ascii="Arial" w:cs="Arial" w:eastAsia="Arial" w:hAnsi="Arial"/>
          <w:b w:val="false"/>
          <w:bCs w:val="false"/>
          <w:color w:val="2B2D42"/>
          <w:sz w:val="22"/>
          <w:szCs w:val="22"/>
        </w:rPr>
        <w:t xml:space="preserve">SANC’s complete silence is a dereliction of its statutory duty under Section 51 of the Nursing Act. The complaint was legally sufficient. The evidence was prima facie overwhelming. The respondents remain registered nurses in good standing, despite serious allegations of misconduct, retaliation, and suppression of patient safety risks. SANC’s only interaction with this case was to deregister the whistleblower. By refusing to investigate its own registrants who suppressed a patient safety report, SANC has placed corporate convenience above the ethics of nursing and above the interests of the 75-year-old patient who deserved better.</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6.2  The Health Professions Council of South Africa (HPCSA)</w:t>
      </w:r>
    </w:p>
    <w:p>
      <w:pPr>
        <w:spacing w:after="80" w:before="200"/>
      </w:pPr>
      <w:r>
        <w:rPr>
          <w:rFonts w:ascii="Arial" w:cs="Arial" w:eastAsia="Arial" w:hAnsi="Arial"/>
          <w:b/>
          <w:bCs/>
          <w:color w:val="2B2D42"/>
          <w:sz w:val="24"/>
          <w:szCs w:val="24"/>
        </w:rPr>
        <w:t xml:space="preserve">The Jurisdictional Deflection</w:t>
      </w:r>
    </w:p>
    <w:p>
      <w:pPr>
        <w:spacing w:after="80" w:before="80" w:line="276" w:lineRule="auto"/>
        <w:ind/>
      </w:pPr>
      <w:r>
        <w:rPr>
          <w:rFonts w:ascii="Arial" w:cs="Arial" w:eastAsia="Arial" w:hAnsi="Arial"/>
          <w:b w:val="false"/>
          <w:bCs w:val="false"/>
          <w:color w:val="2B2D42"/>
          <w:sz w:val="22"/>
          <w:szCs w:val="22"/>
        </w:rPr>
        <w:t xml:space="preserve">On 4 February 2026, the CMS declined jurisdiction and referred the complainant to the HPCSA. On 11 February 2026, the HPCSA responded — technically correctly — that jurisdiction over registered nurses lies with SANC, not HPCSA. The complainant accepted this and filed with SANC. This referral was, on its face, proper.</w:t>
      </w:r>
    </w:p>
    <w:p>
      <w:pPr>
        <w:spacing w:after="80" w:before="80" w:line="276" w:lineRule="auto"/>
        <w:ind/>
      </w:pPr>
      <w:r>
        <w:rPr>
          <w:rFonts w:ascii="Arial" w:cs="Arial" w:eastAsia="Arial" w:hAnsi="Arial"/>
          <w:b w:val="false"/>
          <w:bCs w:val="false"/>
          <w:color w:val="2B2D42"/>
          <w:sz w:val="22"/>
          <w:szCs w:val="22"/>
        </w:rPr>
        <w:t xml:space="preserve">What was not proper was what happened next. The HPCSA had been notified of a Priority 1 clinical risk affecting 1.9 million government employees, of retaliation against a protected whistleblower, and of a systemic institutional failure. After referring to SANC, the HPCSA disengaged entirely. On 14 April 2026, the complainant sent all four regulators an urgent joint ethical ruling request. The question was not profession-specific. It asked whether a registered health professional — of any registration — may refuse an employer’s instruction based on verified flawed forensic data, when patient safety is at stake. The HPCSA’s ethical mandate covers all health professions, including the nurses involved. HPCSA could have issued a joint ruling with SANC. It chose silence.</w:t>
      </w:r>
    </w:p>
    <w:p>
      <w:pPr>
        <w:spacing w:after="80" w:before="200"/>
      </w:pPr>
      <w:r>
        <w:rPr>
          <w:rFonts w:ascii="Arial" w:cs="Arial" w:eastAsia="Arial" w:hAnsi="Arial"/>
          <w:b/>
          <w:bCs/>
          <w:color w:val="2B2D42"/>
          <w:sz w:val="24"/>
          <w:szCs w:val="24"/>
        </w:rPr>
        <w:t xml:space="preserve">The Imminent Life Threat That Was Ignored</w:t>
      </w:r>
    </w:p>
    <w:p>
      <w:pPr>
        <w:spacing w:after="80" w:before="80" w:line="276" w:lineRule="auto"/>
        <w:ind/>
      </w:pPr>
      <w:r>
        <w:rPr>
          <w:rFonts w:ascii="Arial" w:cs="Arial" w:eastAsia="Arial" w:hAnsi="Arial"/>
          <w:b w:val="false"/>
          <w:bCs w:val="false"/>
          <w:color w:val="2B2D42"/>
          <w:sz w:val="22"/>
          <w:szCs w:val="22"/>
        </w:rPr>
        <w:t xml:space="preserve">The 14 April 2026 joint request contained an explicit statement in Section 5: “Due to retaliatory action … I currently lack funds for food or accommodation. My life, dignity, and constitutional rights … have been violated.” It cited the delay as ongoing occupational detriment under the PDA and invoked the constitutional right to prompt administrative justice. The 48-hour deadline expired on 16 April 2026. The HPCSA did not respond. It has not responded since.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FW_URGENT_Joint Ethical Ruling…PDF, p.2-5, sent to HPCSA, CMS, SANC, and SAPC on 14 April 2026. Confirmed non-response by all four.</w:t>
            </w:r>
          </w:p>
        </w:tc>
      </w:tr>
    </w:tbl>
    <w:p>
      <w:pPr>
        <w:spacing w:after="80" w:before="200"/>
      </w:pPr>
      <w:r>
        <w:rPr>
          <w:rFonts w:ascii="Arial" w:cs="Arial" w:eastAsia="Arial" w:hAnsi="Arial"/>
          <w:b/>
          <w:bCs/>
          <w:color w:val="2B2D42"/>
          <w:sz w:val="24"/>
          <w:szCs w:val="24"/>
        </w:rPr>
        <w:t xml:space="preserve">Forensic Finding</w:t>
      </w:r>
    </w:p>
    <w:p>
      <w:pPr>
        <w:spacing w:after="80" w:before="80" w:line="276" w:lineRule="auto"/>
        <w:ind/>
      </w:pPr>
      <w:r>
        <w:rPr>
          <w:rFonts w:ascii="Arial" w:cs="Arial" w:eastAsia="Arial" w:hAnsi="Arial"/>
          <w:b w:val="false"/>
          <w:bCs w:val="false"/>
          <w:color w:val="2B2D42"/>
          <w:sz w:val="22"/>
          <w:szCs w:val="22"/>
        </w:rPr>
        <w:t xml:space="preserve">HPCSA’s silence in the face of a documented life threat and a direct request for a core ethical ruling is a dereliction of its statutory duty under Section 3 of the Health Professions Act and a violation of the right to just administrative action. Even within a narrow reading of HPCSA’s jurisdiction, the ethical question posed on 14 April 2026 fell squarely within its mandate. The HPCSA’s refusal to engage is not a cautious exercise of jurisdiction — it is institutional abdication.</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6.3  The South African Pharmacy Council (SAPC)</w:t>
      </w:r>
    </w:p>
    <w:p>
      <w:pPr>
        <w:spacing w:after="80" w:before="200"/>
      </w:pPr>
      <w:r>
        <w:rPr>
          <w:rFonts w:ascii="Arial" w:cs="Arial" w:eastAsia="Arial" w:hAnsi="Arial"/>
          <w:b/>
          <w:bCs/>
          <w:color w:val="2B2D42"/>
          <w:sz w:val="24"/>
          <w:szCs w:val="24"/>
        </w:rPr>
        <w:t xml:space="preserve">The Complaint Against the Responsible Pharmacist</w:t>
      </w:r>
    </w:p>
    <w:p>
      <w:pPr>
        <w:spacing w:after="80" w:before="80" w:line="276" w:lineRule="auto"/>
        <w:ind/>
      </w:pPr>
      <w:r>
        <w:rPr>
          <w:rFonts w:ascii="Arial" w:cs="Arial" w:eastAsia="Arial" w:hAnsi="Arial"/>
          <w:b w:val="false"/>
          <w:bCs w:val="false"/>
          <w:color w:val="2B2D42"/>
          <w:sz w:val="22"/>
          <w:szCs w:val="22"/>
        </w:rPr>
        <w:t xml:space="preserve">On 16 February 2026, the complainant filed a formal 10-page complaint against Lisa Mari, the Responsible Pharmacist at Medscheme, alleging unprofessional conduct. The complaint detailed how Mari had used a methodologically deficient three-month claim pattern analysis to dismiss the Gexus-DMS integration failure as a patient adherence problem rather than a system error, thereby closing the CMS patient safety investigation without correcting the underlying gap. The correct methodology would have been a technical audit of data transfer between the Gexus and DMS systems — an audit that Mari, as Responsible Pharmacist with system access, had the capacity and the duty to perform. She did not perform it.</w:t>
      </w:r>
    </w:p>
    <w:p>
      <w:pPr>
        <w:spacing w:after="80" w:before="80" w:line="276" w:lineRule="auto"/>
        <w:ind/>
      </w:pPr>
      <w:r>
        <w:rPr>
          <w:rFonts w:ascii="Arial" w:cs="Arial" w:eastAsia="Arial" w:hAnsi="Arial"/>
          <w:b w:val="false"/>
          <w:bCs w:val="false"/>
          <w:color w:val="2B2D42"/>
          <w:sz w:val="22"/>
          <w:szCs w:val="22"/>
        </w:rPr>
        <w:t xml:space="preserve">The complaint cited Good Pharmacy Practice Rules 1.4 (accuracy of clinical information systems) and 2.6 (personal responsibility for clinical soundness) and Section 49 of the Pharmacy Act 53 of 1974 (unprofessional conduct). The SAPC acknowledged receipt on 26 March 2026, requested the resending of an attachment, and on 13 April 2026 scheduled a Microsoft Teams meeting with the Professional Conduct Committee for 14 April 2026.</w:t>
      </w:r>
    </w:p>
    <w:p>
      <w:pPr>
        <w:spacing w:after="80" w:before="200"/>
      </w:pPr>
      <w:r>
        <w:rPr>
          <w:rFonts w:ascii="Arial" w:cs="Arial" w:eastAsia="Arial" w:hAnsi="Arial"/>
          <w:b/>
          <w:bCs/>
          <w:color w:val="2B2D42"/>
          <w:sz w:val="24"/>
          <w:szCs w:val="24"/>
        </w:rPr>
        <w:t xml:space="preserve">The Meeting and the Hesitation</w:t>
      </w:r>
    </w:p>
    <w:p>
      <w:pPr>
        <w:spacing w:after="80" w:before="80" w:line="276" w:lineRule="auto"/>
        <w:ind/>
      </w:pPr>
      <w:r>
        <w:rPr>
          <w:rFonts w:ascii="Arial" w:cs="Arial" w:eastAsia="Arial" w:hAnsi="Arial"/>
          <w:b w:val="false"/>
          <w:bCs w:val="false"/>
          <w:color w:val="2B2D42"/>
          <w:sz w:val="22"/>
          <w:szCs w:val="22"/>
        </w:rPr>
        <w:t xml:space="preserve">The Professional Conduct Committee meeting took place on 14 April 2026 at 08:30. According to the complainant’s follow-up email at 09:52 on the same day, the committee showed hesitation in issuing a ruling on the fundamental ethical question. The complainant sent a follow-up requesting a written response and explicitly warned: “If the Council cannot confirm that a specialist is ethically required to report a 7-year siphoning of public funds, then the Council is effectively ruling that professional registration is subordinate to corporate secrecy.” Despite this warning, and despite the 48-hour deadline in the joint ethical ruling request sent at 13:25 on the same day, the SAPC did not issue any ruling and declined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Gmail – Meeting to discuss the complaint…PDF, p.3-4, follow-up email of 14 April 2026. FW_URGENT_Joint Ethical Ruling…PDF, sent 14 April 2026. User confirmation: ‘SAPC declines jurisdiction.’</w:t>
            </w:r>
          </w:p>
        </w:tc>
      </w:tr>
    </w:tbl>
    <w:p>
      <w:pPr>
        <w:spacing w:after="80" w:before="200"/>
      </w:pPr>
      <w:r>
        <w:rPr>
          <w:rFonts w:ascii="Arial" w:cs="Arial" w:eastAsia="Arial" w:hAnsi="Arial"/>
          <w:b/>
          <w:bCs/>
          <w:color w:val="2B2D42"/>
          <w:sz w:val="24"/>
          <w:szCs w:val="24"/>
        </w:rPr>
        <w:t xml:space="preserve">Forensic Finding</w:t>
      </w:r>
    </w:p>
    <w:p>
      <w:pPr>
        <w:spacing w:after="80" w:before="80" w:line="276" w:lineRule="auto"/>
        <w:ind/>
      </w:pPr>
      <w:r>
        <w:rPr>
          <w:rFonts w:ascii="Arial" w:cs="Arial" w:eastAsia="Arial" w:hAnsi="Arial"/>
          <w:b w:val="false"/>
          <w:bCs w:val="false"/>
          <w:color w:val="2B2D42"/>
          <w:sz w:val="22"/>
          <w:szCs w:val="22"/>
        </w:rPr>
        <w:t xml:space="preserve">Hesitation followed by declination is not a regulatory determination — it is institutional failure dressed in procedural garb. A complaint against a Responsible Pharmacist for using a methodologically deficient analysis to close a patient safety investigation is precisely what the SAPC is mandated to investigate. By declining, the SAPC enabled Mari to evade accountability for conduct that may have violated the Pharmacy Act and Good Pharmacy Practice Rules. The SAPC’s declination, like the CMS’s, HPCSA’s, and SANC’s, protected Medscheme from accountability. The four regulators acted as a cartel of silence — each refusing to take ownership, each passing the question to another, until there was no one left to pass it 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single" w:color="B01010" w:sz="24"/>
              <w:bottom w:val="single" w:color="B01010" w:sz="12"/>
              <w:right w:val="single" w:color="CCCCCC" w:sz="4"/>
            </w:tcBorders>
            <w:shd w:fill="FFF0F0" w:val="clear"/>
            <w:tcMar>
              <w:top w:type="dxa" w:w="160"/>
              <w:left w:type="dxa" w:w="240"/>
              <w:bottom w:type="dxa" w:w="160"/>
              <w:right w:type="dxa" w:w="240"/>
            </w:tcMar>
          </w:tcPr>
          <w:p>
            <w:pPr>
              <w:spacing w:after="60" w:before="0"/>
            </w:pPr>
            <w:r>
              <w:rPr>
                <w:rFonts w:ascii="Arial" w:cs="Arial" w:eastAsia="Arial" w:hAnsi="Arial"/>
                <w:b/>
                <w:bCs/>
                <w:color w:val="B01010"/>
                <w:sz w:val="20"/>
                <w:szCs w:val="20"/>
              </w:rPr>
              <w:t xml:space="preserve">THE FOUR-REGULATOR FAILURE: WHAT IT MEANS FOR THE NHI</w:t>
            </w:r>
          </w:p>
          <w:p>
            <w:pPr>
              <w:spacing w:after="0" w:before="0"/>
            </w:pPr>
            <w:r>
              <w:rPr>
                <w:rFonts w:ascii="Arial" w:cs="Arial" w:eastAsia="Arial" w:hAnsi="Arial"/>
                <w:color w:val="2B2D42"/>
                <w:sz w:val="21"/>
                <w:szCs w:val="21"/>
              </w:rPr>
              <w:t xml:space="preserve">The CMS, HPCSA, SANC, and SAPC are the institutional pillars of health professional oversight in South Africa. All four will play critical roles under the NHI. All four failed. Not one answered a direct ethical question about patient safety and professional duty. Not one protected a whistleblower who identified a clinical risk affecting 1.9 million government employees. If these four institutions cannot respond to a documented Priority 1 clinical risk and a life threat in the existing system, they will not respond to corruption in the NHI. Parliament must compel them to account — or restructure them before the NHI is operational.</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SEVEN: FORENSIC INSTITUTIONAL REPORTS — GEMS AND THE DEPARTMENT OF EMPLOYMENT AND LABOUR</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7.1  Government Employees Medical Scheme (GEMS) — Complicity Through Silence</w:t>
      </w:r>
    </w:p>
    <w:p>
      <w:pPr>
        <w:spacing w:after="80" w:before="200"/>
      </w:pPr>
      <w:r>
        <w:rPr>
          <w:rFonts w:ascii="Arial" w:cs="Arial" w:eastAsia="Arial" w:hAnsi="Arial"/>
          <w:b/>
          <w:bCs/>
          <w:color w:val="2B2D42"/>
          <w:sz w:val="24"/>
          <w:szCs w:val="24"/>
        </w:rPr>
        <w:t xml:space="preserve">The Nature of GEMS’ Obligation</w:t>
      </w:r>
    </w:p>
    <w:p>
      <w:pPr>
        <w:spacing w:after="80" w:before="80" w:line="276" w:lineRule="auto"/>
        <w:ind/>
      </w:pPr>
      <w:r>
        <w:rPr>
          <w:rFonts w:ascii="Arial" w:cs="Arial" w:eastAsia="Arial" w:hAnsi="Arial"/>
          <w:b w:val="false"/>
          <w:bCs w:val="false"/>
          <w:color w:val="2B2D42"/>
          <w:sz w:val="22"/>
          <w:szCs w:val="22"/>
        </w:rPr>
        <w:t xml:space="preserve">GEMS is not a passive administrator. It is the statutory principal scheme for 1.9 million government employees and their dependants, governed by the Medical Schemes Act and by a fiduciary duty to its members. Medscheme is GEMS’ accredited administrator. GEMS has both the power and the duty to investigate its administrator’s conduct, require corrective action, and — where necessary — terminate the administration contract. When a specialist nurse employed by that administrator identified a systemic clinical risk affecting GEMS members, made a formal protected disclosure, and was retaliated against until he became homeless, GEMS was not merely an uninvolved third party. It was the principal whose members were at risk and whose administrator’s conduct was in question.</w:t>
      </w:r>
    </w:p>
    <w:p>
      <w:pPr>
        <w:spacing w:after="80" w:before="200"/>
      </w:pPr>
      <w:r>
        <w:rPr>
          <w:rFonts w:ascii="Arial" w:cs="Arial" w:eastAsia="Arial" w:hAnsi="Arial"/>
          <w:b/>
          <w:bCs/>
          <w:color w:val="2B2D42"/>
          <w:sz w:val="24"/>
          <w:szCs w:val="24"/>
        </w:rPr>
        <w:t xml:space="preserve">What the Complainant Did</w:t>
      </w:r>
    </w:p>
    <w:p>
      <w:pPr>
        <w:spacing w:after="80" w:before="80" w:line="276" w:lineRule="auto"/>
        <w:ind/>
      </w:pPr>
      <w:r>
        <w:rPr>
          <w:rFonts w:ascii="Arial" w:cs="Arial" w:eastAsia="Arial" w:hAnsi="Arial"/>
          <w:b w:val="false"/>
          <w:bCs w:val="false"/>
          <w:color w:val="2B2D42"/>
          <w:sz w:val="22"/>
          <w:szCs w:val="22"/>
        </w:rPr>
        <w:t xml:space="preserve">On 2 April 2026, the complainant submitted a formal 4-page protected disclosure to the GEMS Board. The disclosure detailed the Gexus-DMS integration gap, confirmed the member impact on the 75-year-old widow (case reference 000655789 Dependent 02), documented the CRO suppression email of 18 December 2025, and requested investigation, review of the Root Cause Analysis, and a response within 14 days.</w:t>
      </w:r>
    </w:p>
    <w:p>
      <w:pPr>
        <w:spacing w:after="80" w:before="80" w:line="276" w:lineRule="auto"/>
        <w:ind/>
      </w:pPr>
      <w:r>
        <w:rPr>
          <w:rFonts w:ascii="Arial" w:cs="Arial" w:eastAsia="Arial" w:hAnsi="Arial"/>
          <w:b w:val="false"/>
          <w:bCs w:val="false"/>
          <w:color w:val="2B2D42"/>
          <w:sz w:val="22"/>
          <w:szCs w:val="22"/>
        </w:rPr>
        <w:t xml:space="preserve">On the same day, he submitted a 5-page supporting testimony documenting the retaliation, the unlawful deduction, his destitution, and the failure of 11 institutions to provide a remedy. On 11 April 2026, GEMS’ Vuvuzela Hotline sent an auto-acknowledgement with reference GEMS-260411-184830-83263. That was GEMS’ only response.</w:t>
      </w:r>
    </w:p>
    <w:p>
      <w:pPr>
        <w:spacing w:after="80" w:before="80" w:line="276" w:lineRule="auto"/>
        <w:ind/>
      </w:pPr>
      <w:r>
        <w:rPr>
          <w:rFonts w:ascii="Arial" w:cs="Arial" w:eastAsia="Arial" w:hAnsi="Arial"/>
          <w:b w:val="false"/>
          <w:bCs w:val="false"/>
          <w:color w:val="2B2D42"/>
          <w:sz w:val="22"/>
          <w:szCs w:val="22"/>
        </w:rPr>
        <w:t xml:space="preserve">On 13 April 2026, the complainant submitted a final consolidated 13-page protected disclosure to the GEMS Board, copying Parliament, the Public Protector, the CMS, and SANC. The submission included an itemised account of unlawful deductions, post-employment misrepresentations, the false UI-19, a phantom R9,203 entry on the employer’s SARS declaration that does not appear on any payslip, and a table of 11 institutions that had failed. He gave 14 days for a substantive response. GEMS did not respond.</w:t>
      </w:r>
    </w:p>
    <w:p>
      <w:pPr>
        <w:spacing w:after="80" w:before="200"/>
      </w:pPr>
      <w:r>
        <w:rPr>
          <w:rFonts w:ascii="Arial" w:cs="Arial" w:eastAsia="Arial" w:hAnsi="Arial"/>
          <w:b/>
          <w:bCs/>
          <w:color w:val="2B2D42"/>
          <w:sz w:val="24"/>
          <w:szCs w:val="24"/>
        </w:rPr>
        <w:t xml:space="preserve">Key Forensic Finding</w:t>
      </w:r>
    </w:p>
    <w:p>
      <w:pPr>
        <w:spacing w:after="80" w:before="80" w:line="276" w:lineRule="auto"/>
        <w:ind/>
      </w:pPr>
      <w:r>
        <w:rPr>
          <w:rFonts w:ascii="Arial" w:cs="Arial" w:eastAsia="Arial" w:hAnsi="Arial"/>
          <w:b w:val="false"/>
          <w:bCs w:val="false"/>
          <w:color w:val="2B2D42"/>
          <w:sz w:val="22"/>
          <w:szCs w:val="22"/>
        </w:rPr>
        <w:t xml:space="preserve">GEMS’ silence is not neutrality. It is institutional complicity. The employer’s Chief Risk Officer actively suppressed a Priority 1 Material Risk Report. The employer deducted 40.47% of a nurse’s salary in one month, causing his nursing deregistration and eventual homelessness. The employer’s Deputy Information Officer swore under oath that no IT incident had been reported, contradicting the RCA. GEMS, as the principal scheme, was formally notified of all of this. GEMS did nothing. By doing nothing, GEMS allowed its administrator’s unlawful conduct to stand, allowed the clinical risk to its own members to persist, and allowed a whistleblower who acted in the best interests of GEMS members to be destroyed. This is a breach of MSA Sections 7, 47, 57, and 58, the Protected Disclosures Act, and the Constitution.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EthicHawks_Doc1_Protected_Disclosure, 2 April 2026; EthicHawks_Doc2_Supporting_Testimony, 2 April 2026; Emailing_GEMS_Protected_Disclosure_13April2026.PDF.pdf; Vuvuzela auto-acknowledgement GEMS-260411-184830-83263. No substantive GEMS response in any document.</w:t>
            </w:r>
          </w:p>
        </w:tc>
      </w:tr>
    </w:tbl>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7.2  Department of Employment and Labour (DEL) — Administrative Abandonment</w:t>
      </w:r>
    </w:p>
    <w:p>
      <w:pPr>
        <w:spacing w:after="80" w:before="200"/>
      </w:pPr>
      <w:r>
        <w:rPr>
          <w:rFonts w:ascii="Arial" w:cs="Arial" w:eastAsia="Arial" w:hAnsi="Arial"/>
          <w:b/>
          <w:bCs/>
          <w:color w:val="2B2D42"/>
          <w:sz w:val="24"/>
          <w:szCs w:val="24"/>
        </w:rPr>
        <w:t xml:space="preserve">What DEL Should Have Done</w:t>
      </w:r>
    </w:p>
    <w:p>
      <w:pPr>
        <w:spacing w:after="80" w:before="80" w:line="276" w:lineRule="auto"/>
        <w:ind/>
      </w:pPr>
      <w:r>
        <w:rPr>
          <w:rFonts w:ascii="Arial" w:cs="Arial" w:eastAsia="Arial" w:hAnsi="Arial"/>
          <w:b w:val="false"/>
          <w:bCs w:val="false"/>
          <w:color w:val="2B2D42"/>
          <w:sz w:val="22"/>
          <w:szCs w:val="22"/>
        </w:rPr>
        <w:t xml:space="preserve">The Department of Employment and Labour is the primary enforcement body for the BCEA, the UIF Act, and the Unemployment Insurance Contributions Act. When a whistleblower reports that his employer deducted UIF contributions from his salary but did not remit them to the UIF fund — a fact demonstrated by a uFiling portal showing “No Information” for June 2025 while surrounding months show full declarations — DEL is the institution with the power and the duty to compel remittance and correct the record. When an employer submits a UI-19 declaring voluntary resignation when the employee’s resignation letter explicitly cited Section 186(1)(e) of the LRA (constructive dismissal), DEL has the exclusive jurisdiction to compel correction. These are not dismissal disputes for the CCMA. They are statutory offences and administrative obligations within DEL’s exclusive mandate.</w:t>
      </w:r>
    </w:p>
    <w:p>
      <w:pPr>
        <w:spacing w:after="80" w:before="200"/>
      </w:pPr>
      <w:r>
        <w:rPr>
          <w:rFonts w:ascii="Arial" w:cs="Arial" w:eastAsia="Arial" w:hAnsi="Arial"/>
          <w:b/>
          <w:bCs/>
          <w:color w:val="2B2D42"/>
          <w:sz w:val="24"/>
          <w:szCs w:val="24"/>
        </w:rPr>
        <w:t xml:space="preserve">What DEL Did</w:t>
      </w:r>
    </w:p>
    <w:p>
      <w:pPr>
        <w:spacing w:after="80" w:before="80" w:line="276" w:lineRule="auto"/>
        <w:ind/>
      </w:pPr>
      <w:r>
        <w:rPr>
          <w:rFonts w:ascii="Arial" w:cs="Arial" w:eastAsia="Arial" w:hAnsi="Arial"/>
          <w:b w:val="false"/>
          <w:bCs w:val="false"/>
          <w:color w:val="2B2D42"/>
          <w:sz w:val="22"/>
          <w:szCs w:val="22"/>
        </w:rPr>
        <w:t xml:space="preserve">On 10 February 2026, the complainant filed a formal urgent complaint with DEL regarding UIF non-remittance and the false UI-19. On 16 February 2026, Fezeka Ngalo allocated an integrated inspection with reference 890903 5151 087. On 17 March 2026, Inspector Matthew Holmes noted the BCEA earnings threshold barred a compliance order on the deduction — an issue of statutory interpretation that requires further investigation — and referred the UIF matter to the UIF division. No further action was taken on that referral.</w:t>
      </w:r>
    </w:p>
    <w:p>
      <w:pPr>
        <w:spacing w:after="80" w:before="80" w:line="276" w:lineRule="auto"/>
        <w:ind/>
      </w:pPr>
      <w:r>
        <w:rPr>
          <w:rFonts w:ascii="Arial" w:cs="Arial" w:eastAsia="Arial" w:hAnsi="Arial"/>
          <w:b w:val="false"/>
          <w:bCs w:val="false"/>
          <w:color w:val="2B2D42"/>
          <w:sz w:val="22"/>
          <w:szCs w:val="22"/>
        </w:rPr>
        <w:t xml:space="preserve">On 14 April 2026, the complainant issued a Final Demand to DEL leadership — Chief Inspector Esau and Ms Ngalo — giving 48 hours to act on three specific issues: the UI-19 fraud, the Certificate of Service misrepresentation, and the UIF non-remittance. At 23:31 on 15 April 2026, Principal Inspector Cebo Kutuka closed the investigation file by email, stating that DEL had no jurisdiction over constructive dismissal and referring the complainant to the CCMA.</w:t>
      </w:r>
    </w:p>
    <w:p>
      <w:pPr>
        <w:spacing w:after="80" w:before="80" w:line="276" w:lineRule="auto"/>
        <w:ind/>
      </w:pPr>
      <w:r>
        <w:rPr>
          <w:rFonts w:ascii="Arial" w:cs="Arial" w:eastAsia="Arial" w:hAnsi="Arial"/>
          <w:b w:val="false"/>
          <w:bCs w:val="false"/>
          <w:color w:val="2B2D42"/>
          <w:sz w:val="22"/>
          <w:szCs w:val="22"/>
        </w:rPr>
        <w:t xml:space="preserve">The complainant immediately objected, explaining that the UI-19 fraud is a separate statutory offence from the dismissal dispute and that the CCMA has no power to order correction of a UI-19. Kutuka did not reverse his decision. The file was closed. No compliance order was issued. The false UI-19 stands. The UIF contributions for June 2025 have not been remitted. The complainant’s Certificate of Service still designates him as Care Coordinator rather than Case Manager.</w:t>
      </w:r>
    </w:p>
    <w:p>
      <w:pPr>
        <w:spacing w:after="80" w:before="200"/>
      </w:pPr>
      <w:r>
        <w:rPr>
          <w:rFonts w:ascii="Arial" w:cs="Arial" w:eastAsia="Arial" w:hAnsi="Arial"/>
          <w:b/>
          <w:bCs/>
          <w:color w:val="2B2D42"/>
          <w:sz w:val="24"/>
          <w:szCs w:val="24"/>
        </w:rPr>
        <w:t xml:space="preserve">The Mandamus Prepared but Never Filed</w:t>
      </w:r>
    </w:p>
    <w:p>
      <w:pPr>
        <w:spacing w:after="80" w:before="80" w:line="276" w:lineRule="auto"/>
        <w:ind/>
      </w:pPr>
      <w:r>
        <w:rPr>
          <w:rFonts w:ascii="Arial" w:cs="Arial" w:eastAsia="Arial" w:hAnsi="Arial"/>
          <w:b w:val="false"/>
          <w:bCs w:val="false"/>
          <w:color w:val="2B2D42"/>
          <w:sz w:val="22"/>
          <w:szCs w:val="22"/>
        </w:rPr>
        <w:t xml:space="preserve">The complainant prepared a detailed Mandamus application to the Western Cape High Court seeking to compel DEL to issue a Compliance Order correcting the UI-19, remitting the June 2025 UIF contributions, and enforcing Section 42 of the BCEA to issue a corrected Certificate of Service. The application was never filed. The complainant was destitute, homeless, and had no time or resources to complete the filing process. The irony is precise: the very institutional failures he sought to challenge through the Mandamus were the failures that made it impossible for him to file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Gmail – UI non compliance(2).PDF; Gmail – FORMAL FOLLOW-UP &amp; 72-HOUR NOTICE; Gmail – certificate of service(1).PDF; Gmail – FORMAL OBJECTION to Kutuka’s closure; V_1_Mandamus_DEL_WC_HighCourt.pdf (unfiled). Inspector Kutuka’s closure email confirmed at 23:31, 15 April 2026.</w:t>
            </w:r>
          </w:p>
        </w:tc>
      </w:tr>
    </w:tbl>
    <w:p>
      <w:pPr>
        <w:spacing w:after="80" w:before="200"/>
      </w:pPr>
      <w:r>
        <w:rPr>
          <w:rFonts w:ascii="Arial" w:cs="Arial" w:eastAsia="Arial" w:hAnsi="Arial"/>
          <w:b/>
          <w:bCs/>
          <w:color w:val="2B2D42"/>
          <w:sz w:val="24"/>
          <w:szCs w:val="24"/>
        </w:rPr>
        <w:t xml:space="preserve">The Legal Error in Inspector Kutuka’s Closure</w:t>
      </w:r>
    </w:p>
    <w:p>
      <w:pPr>
        <w:spacing w:after="80" w:before="80" w:line="276" w:lineRule="auto"/>
        <w:ind/>
      </w:pPr>
      <w:r>
        <w:rPr>
          <w:rFonts w:ascii="Arial" w:cs="Arial" w:eastAsia="Arial" w:hAnsi="Arial"/>
          <w:b w:val="false"/>
          <w:bCs w:val="false"/>
          <w:color w:val="2B2D42"/>
          <w:sz w:val="22"/>
          <w:szCs w:val="22"/>
        </w:rPr>
        <w:t xml:space="preserve">Inspector Kutuka’s decision is reviewable under Section 6 of PAJA on multiple grounds. First, it involves a material error of law: conflating dismissal jurisdiction (which is CCMA territory) with UIF fraud jurisdiction (which is DEL’s exclusive province). The CCMA cannot correct a UI-19. The CCMA cannot compel UIF remittance. These are DEL’s functions and only DEL’s. Second, the decision reflects a failure to apply the mind: the file was closed without engaging with the complainant’s evidence or the legal distinction between the two types of jurisdiction. Third, the decision is arbitrary: there is no rational connection between the finding that constructive dismissal is a CCMA matter and the conclusion that UI-19 fraud is therefore also a CCMA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single" w:color="B01010" w:sz="24"/>
              <w:bottom w:val="single" w:color="B01010" w:sz="12"/>
              <w:right w:val="single" w:color="CCCCCC" w:sz="4"/>
            </w:tcBorders>
            <w:shd w:fill="FFF0F0" w:val="clear"/>
            <w:tcMar>
              <w:top w:type="dxa" w:w="160"/>
              <w:left w:type="dxa" w:w="240"/>
              <w:bottom w:type="dxa" w:w="160"/>
              <w:right w:type="dxa" w:w="240"/>
            </w:tcMar>
          </w:tcPr>
          <w:p>
            <w:pPr>
              <w:spacing w:after="60" w:before="0"/>
            </w:pPr>
            <w:r>
              <w:rPr>
                <w:rFonts w:ascii="Arial" w:cs="Arial" w:eastAsia="Arial" w:hAnsi="Arial"/>
                <w:b/>
                <w:bCs/>
                <w:color w:val="B01010"/>
                <w:sz w:val="20"/>
                <w:szCs w:val="20"/>
              </w:rPr>
              <w:t xml:space="preserve">FORENSIC CONCLUSION — DEL</w:t>
            </w:r>
          </w:p>
          <w:p>
            <w:pPr>
              <w:spacing w:after="0" w:before="0"/>
            </w:pPr>
            <w:r>
              <w:rPr>
                <w:rFonts w:ascii="Arial" w:cs="Arial" w:eastAsia="Arial" w:hAnsi="Arial"/>
                <w:color w:val="2B2D42"/>
                <w:sz w:val="21"/>
                <w:szCs w:val="21"/>
              </w:rPr>
              <w:t xml:space="preserve">DEL closed its file at 23:31 on 15 April 2026 citing a jurisdictional error that any first-year law student would recognise as false. The state deducted UIF contributions from the complainant’s salary, did not remit them, submitted a false UI-19 to block his claim, and then, when he reported all of this to DEL, DEL closed the file and sent him to the CCMA — an institution with no power to fix any of it. The Constitution guarantees the right to social security. DEL’s conduct violated that right. Parliament must intervene.</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EIGHT: FORENSIC INSTITUTIONAL REPORTS — B-BBEE COMMISSION AND JSE/FSCA</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8.1  The B-BBEE Commission — Fronting Uninvestigated</w:t>
      </w:r>
    </w:p>
    <w:p>
      <w:pPr>
        <w:spacing w:after="80" w:before="200"/>
      </w:pPr>
      <w:r>
        <w:rPr>
          <w:rFonts w:ascii="Arial" w:cs="Arial" w:eastAsia="Arial" w:hAnsi="Arial"/>
          <w:b/>
          <w:bCs/>
          <w:color w:val="2B2D42"/>
          <w:sz w:val="24"/>
          <w:szCs w:val="24"/>
        </w:rPr>
        <w:t xml:space="preserve">The Fronting Allegation: What the Evidence Shows</w:t>
      </w:r>
    </w:p>
    <w:p>
      <w:pPr>
        <w:spacing w:after="80" w:before="80" w:line="276" w:lineRule="auto"/>
        <w:ind/>
      </w:pPr>
      <w:r>
        <w:rPr>
          <w:rFonts w:ascii="Arial" w:cs="Arial" w:eastAsia="Arial" w:hAnsi="Arial"/>
          <w:b w:val="false"/>
          <w:bCs w:val="false"/>
          <w:color w:val="2B2D42"/>
          <w:sz w:val="22"/>
          <w:szCs w:val="22"/>
        </w:rPr>
        <w:t xml:space="preserve">Section 1(c) of the Broad-Based Black Economic Empowerment Act 53 of 2003 defines fronting practice as “involving the conclusion of a legal relationship with a black person for the purpose of that enterprise achieving a certain level of B-BBEE compliance without granting that black person the economic benefits that would reasonably be expected to be associated with the status or position held by that black person.” The complainant’s case satisfies every element of that definition on the documentary record.</w:t>
      </w:r>
    </w:p>
    <w:p>
      <w:pPr>
        <w:spacing w:after="80" w:before="80" w:line="276" w:lineRule="auto"/>
        <w:ind/>
      </w:pPr>
      <w:r>
        <w:rPr>
          <w:rFonts w:ascii="Arial" w:cs="Arial" w:eastAsia="Arial" w:hAnsi="Arial"/>
          <w:b w:val="false"/>
          <w:bCs w:val="false"/>
          <w:color w:val="2B2D42"/>
          <w:sz w:val="22"/>
          <w:szCs w:val="22"/>
        </w:rPr>
        <w:t xml:space="preserve">He is Black. He holds an NQF Level 8 qualification. He was recruited via three interview invitations (January 2024) for the role of “Specialist: Care Manager.” He was appointed by contract on 9 April 2024 as “Care Coordinator” at Grade B4M1 — a junior, lower-paid designation. In May 2025, he attended a formal Naming Convention meeting and was instructed by management to adopt the title “Case Manager.” He updated his corporate email signature accordingly: “Case Manager: GEMS Active Disease Risk Management.” He functionally exercised management authority as Acting Chairperson of the Health and Safety Committee, managing 13+ named first aiders across two floors of the employer’s Cape Town premises, documented in a roster he prepared in July 2025.</w:t>
      </w:r>
    </w:p>
    <w:p>
      <w:pPr>
        <w:spacing w:after="80" w:before="80" w:line="276" w:lineRule="auto"/>
        <w:ind/>
      </w:pPr>
      <w:r>
        <w:rPr>
          <w:rFonts w:ascii="Arial" w:cs="Arial" w:eastAsia="Arial" w:hAnsi="Arial"/>
          <w:b w:val="false"/>
          <w:bCs w:val="false"/>
          <w:color w:val="2B2D42"/>
          <w:sz w:val="22"/>
          <w:szCs w:val="22"/>
        </w:rPr>
        <w:t xml:space="preserve">On 19 January 2026, his Certificate of Service — issued after the Naming Convention meeting and after months of performing management functions — recorded his last position as “Care Coordinator.” Senior HR Business Partner Cheryl-Dawn Modern admitted in writing: “With regard to the naming-convention changes, please note that this business process is still in progress, and I can confirm that no changes to the Care Co-Ordinator job title for your department have been implemented at this stage.” The naming convention that upgraded everyone else’s title was deliberately not applied to his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Interview invitation (Annexure A1); Appointment letter at Grade B4M1 (Annexure A2); Email signature ‘Case Manager’ (Annexure A5); H&amp;S First Aider Roster (Annexure A4); Certificate of Service showing Care Coordinator (Annexure A6); Modern admission email (Annexure A9, 19 January 2026).</w:t>
            </w:r>
          </w:p>
        </w:tc>
      </w:tr>
    </w:tbl>
    <w:p>
      <w:pPr>
        <w:spacing w:after="80" w:before="200"/>
      </w:pPr>
      <w:r>
        <w:rPr>
          <w:rFonts w:ascii="Arial" w:cs="Arial" w:eastAsia="Arial" w:hAnsi="Arial"/>
          <w:b/>
          <w:bCs/>
          <w:color w:val="2B2D42"/>
          <w:sz w:val="24"/>
          <w:szCs w:val="24"/>
        </w:rPr>
        <w:t xml:space="preserve">What the B-BBEE Commission Did with This Evidence</w:t>
      </w:r>
    </w:p>
    <w:p>
      <w:pPr>
        <w:spacing w:after="80" w:before="80" w:line="276" w:lineRule="auto"/>
        <w:ind/>
      </w:pPr>
      <w:r>
        <w:rPr>
          <w:rFonts w:ascii="Arial" w:cs="Arial" w:eastAsia="Arial" w:hAnsi="Arial"/>
          <w:b w:val="false"/>
          <w:bCs w:val="false"/>
          <w:color w:val="2B2D42"/>
          <w:sz w:val="22"/>
          <w:szCs w:val="22"/>
        </w:rPr>
        <w:t xml:space="preserve">The Commission was provided with sworn affidavits, all nine annexures, and a detailed 9-page response to its Form B-BBEE 8 questions on 13 March 2026. On 30 March 2026, it issued a Notice of Non-Investigation. The reasons given were that the allegations primarily related to labour disputes, discrimination, and retaliation falling within CCMA and Labour Court jurisdiction; that no verifiable evidence had been provided that Medscheme claimed B-BBEE points using the complainant’s profile; that the H&amp;S Chairperson role related to OHSA rather than B-BBEE management; and that the remedies sought fell outside the Commission’s powers.</w:t>
      </w:r>
    </w:p>
    <w:p>
      <w:pPr>
        <w:spacing w:after="80" w:before="200"/>
      </w:pPr>
      <w:r>
        <w:rPr>
          <w:rFonts w:ascii="Arial" w:cs="Arial" w:eastAsia="Arial" w:hAnsi="Arial"/>
          <w:b/>
          <w:bCs/>
          <w:color w:val="2B2D42"/>
          <w:sz w:val="24"/>
          <w:szCs w:val="24"/>
        </w:rPr>
        <w:t xml:space="preserve">Why Those Reasons Are Wrong</w:t>
      </w:r>
    </w:p>
    <w:p>
      <w:pPr>
        <w:spacing w:after="80" w:before="80" w:line="276" w:lineRule="auto"/>
        <w:ind/>
      </w:pPr>
      <w:r>
        <w:rPr>
          <w:rFonts w:ascii="Arial" w:cs="Arial" w:eastAsia="Arial" w:hAnsi="Arial"/>
          <w:b w:val="false"/>
          <w:bCs w:val="false"/>
          <w:color w:val="2B2D42"/>
          <w:sz w:val="22"/>
          <w:szCs w:val="22"/>
        </w:rPr>
        <w:t xml:space="preserve">The Commission’s characterisation of the complaint as a labour dispute ignores the specific fronting-law allegations: title suppression, credential extraction, and management control without economic benefit. These are B-BBEE Act matters, not Labour Court matters. The Commission’s claim that no verifiable evidence was provided ignores the Naming Convention instruction, the email signature evidence, the management roster, and the HR admission of exclusion — all of which are documents it received.</w:t>
      </w:r>
    </w:p>
    <w:p>
      <w:pPr>
        <w:spacing w:after="80" w:before="80" w:line="276" w:lineRule="auto"/>
        <w:ind/>
      </w:pPr>
      <w:r>
        <w:rPr>
          <w:rFonts w:ascii="Arial" w:cs="Arial" w:eastAsia="Arial" w:hAnsi="Arial"/>
          <w:b w:val="false"/>
          <w:bCs w:val="false"/>
          <w:color w:val="2B2D42"/>
          <w:sz w:val="22"/>
          <w:szCs w:val="22"/>
        </w:rPr>
        <w:t xml:space="preserve">The Commission’s argument that no scorecard was provided is a procedural catch-22: the complainant cannot access Medscheme’s internal B-BBEE verification certificate. That is precisely what Section 13K subpoena powers are for. The Commission declined to use them. The Commission’s interpretation that an Acting Chairperson role managing 13+ staff does not constitute “management control” under Code Series 100 is legally incorrect — management control includes statutory leadership roles and operational supervisory authority.</w:t>
      </w:r>
    </w:p>
    <w:p>
      <w:pPr>
        <w:spacing w:after="80" w:before="80" w:line="276" w:lineRule="auto"/>
        <w:ind/>
      </w:pPr>
      <w:r>
        <w:rPr>
          <w:rFonts w:ascii="Arial" w:cs="Arial" w:eastAsia="Arial" w:hAnsi="Arial"/>
          <w:b w:val="false"/>
          <w:bCs w:val="false"/>
          <w:color w:val="2B2D42"/>
          <w:sz w:val="22"/>
          <w:szCs w:val="22"/>
        </w:rPr>
        <w:t xml:space="preserve">The Commission’s decision is reviewable under PAJA Section 6(2)(d) (material error of law), Section 6(2)(e)(iii) (failure to take relevant facts into account), and Section 6(2)(e)(vi) (irrational decision — rejecting a fronting complaint when fronting evidence was present). The Commission’s refusal to use its Section 13K powers, without legal basis, compounds the irrationality.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single" w:color="B01010" w:sz="24"/>
              <w:bottom w:val="single" w:color="B01010" w:sz="12"/>
              <w:right w:val="single" w:color="CCCCCC" w:sz="4"/>
            </w:tcBorders>
            <w:shd w:fill="FFF0F0" w:val="clear"/>
            <w:tcMar>
              <w:top w:type="dxa" w:w="160"/>
              <w:left w:type="dxa" w:w="240"/>
              <w:bottom w:type="dxa" w:w="160"/>
              <w:right w:type="dxa" w:w="240"/>
            </w:tcMar>
          </w:tcPr>
          <w:p>
            <w:pPr>
              <w:spacing w:after="60" w:before="0"/>
            </w:pPr>
            <w:r>
              <w:rPr>
                <w:rFonts w:ascii="Arial" w:cs="Arial" w:eastAsia="Arial" w:hAnsi="Arial"/>
                <w:b/>
                <w:bCs/>
                <w:color w:val="B01010"/>
                <w:sz w:val="20"/>
                <w:szCs w:val="20"/>
              </w:rPr>
              <w:t xml:space="preserve">FORENSIC FINDING — B-BBEE COMMISSION</w:t>
            </w:r>
          </w:p>
          <w:p>
            <w:pPr>
              <w:spacing w:after="0" w:before="0"/>
            </w:pPr>
            <w:r>
              <w:rPr>
                <w:rFonts w:ascii="Arial" w:cs="Arial" w:eastAsia="Arial" w:hAnsi="Arial"/>
                <w:color w:val="2B2D42"/>
                <w:sz w:val="21"/>
                <w:szCs w:val="21"/>
              </w:rPr>
              <w:t xml:space="preserve">The Commission was given a sworn affidavit, documentary evidence of a structured title suppression scheme, proof of management control without economic benefit, and a written admission of exclusion from a senior HR officer. It assigned a case number, requested additional information, received a detailed response, and then closed the file with reasons that ignore the evidence and misstate the law. If the B-BBEE Commission will not enforce the B-BBEE Act against a powerful JSE-listed company that services the Government Employees Medical Scheme, Parliament must demand to know why — and what the Commission’s declination means for NHI procurement fronting.</w:t>
            </w:r>
          </w:p>
        </w:tc>
      </w:tr>
    </w:tbl>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8.2  The JSE and FSCA — Market Regulators That Looked Away</w:t>
      </w:r>
    </w:p>
    <w:p>
      <w:pPr>
        <w:spacing w:after="80" w:before="200"/>
      </w:pPr>
      <w:r>
        <w:rPr>
          <w:rFonts w:ascii="Arial" w:cs="Arial" w:eastAsia="Arial" w:hAnsi="Arial"/>
          <w:b/>
          <w:bCs/>
          <w:color w:val="2B2D42"/>
          <w:sz w:val="24"/>
          <w:szCs w:val="24"/>
        </w:rPr>
        <w:t xml:space="preserve">The Submission to the JSE</w:t>
      </w:r>
    </w:p>
    <w:p>
      <w:pPr>
        <w:spacing w:after="80" w:before="80" w:line="276" w:lineRule="auto"/>
        <w:ind/>
      </w:pPr>
      <w:r>
        <w:rPr>
          <w:rFonts w:ascii="Arial" w:cs="Arial" w:eastAsia="Arial" w:hAnsi="Arial"/>
          <w:b w:val="false"/>
          <w:bCs w:val="false"/>
          <w:color w:val="2B2D42"/>
          <w:sz w:val="22"/>
          <w:szCs w:val="22"/>
        </w:rPr>
        <w:t xml:space="preserve">On 23 December 2025, the complainant submitted a 325-page evidentiary bundle to the JSE Issuer Regulation Division, reporting Board governance failure, the Priority 1 risk suppression, retaliation, and breaches of King IV. On 20 January 2026, he filed a formal complaint (Ref: JvS/166792). On 6 March 2026, the JSE issued a declination stating the matters fell outside the scope of the JSE Listings Requirements and the Financial Markets Act, referring him to the CCMA, Labour Court, and Equality Court.</w:t>
      </w:r>
    </w:p>
    <w:p>
      <w:pPr>
        <w:spacing w:after="80" w:before="80" w:line="276" w:lineRule="auto"/>
        <w:ind/>
      </w:pPr>
      <w:r>
        <w:rPr>
          <w:rFonts w:ascii="Arial" w:cs="Arial" w:eastAsia="Arial" w:hAnsi="Arial"/>
          <w:b w:val="false"/>
          <w:bCs w:val="false"/>
          <w:color w:val="2B2D42"/>
          <w:sz w:val="22"/>
          <w:szCs w:val="22"/>
        </w:rPr>
        <w:t xml:space="preserve">On 20 March 2026, the complainant provided the JSE with a factual update: the Section 162 director delinquency application had been filed on 19 March 2026; the B-BBEE Commission investigation (Case 5/02/2026) carried a potential maximum fine of R580 million (10% of annual turnover); he asked whether the omission of both matters from SENS was consistent with the Listings Requirements. On 25 March 2026, the JSE asked whether it could put the information to the company. The complainant agreed.</w:t>
      </w:r>
    </w:p>
    <w:p>
      <w:pPr>
        <w:spacing w:after="80" w:before="80" w:line="276" w:lineRule="auto"/>
        <w:ind/>
      </w:pPr>
      <w:r>
        <w:rPr>
          <w:rFonts w:ascii="Arial" w:cs="Arial" w:eastAsia="Arial" w:hAnsi="Arial"/>
          <w:b w:val="false"/>
          <w:bCs w:val="false"/>
          <w:color w:val="2B2D42"/>
          <w:sz w:val="22"/>
          <w:szCs w:val="22"/>
        </w:rPr>
        <w:t xml:space="preserve">On 11 May 2026, the JSE responded that a court application at institution does not, in itself, give rise to an immediate SENS obligation, and that the information did not appear price-sensitive. The JSE took no action. AfroCentric’s share price had reached a 52-week low of R0.71 on 18 March 2026 — the day before the Section 162 application was filed. The JSE did not consider whether the cumulative effect of the undisclosed matters could have influenced that market movement.</w:t>
      </w:r>
    </w:p>
    <w:p>
      <w:pPr>
        <w:spacing w:after="80" w:before="200"/>
      </w:pPr>
      <w:r>
        <w:rPr>
          <w:rFonts w:ascii="Arial" w:cs="Arial" w:eastAsia="Arial" w:hAnsi="Arial"/>
          <w:b/>
          <w:bCs/>
          <w:color w:val="2B2D42"/>
          <w:sz w:val="24"/>
          <w:szCs w:val="24"/>
        </w:rPr>
        <w:t xml:space="preserve">AfroCentric’s Integrated Annual Report 2025 — What Was False</w:t>
      </w:r>
    </w:p>
    <w:p>
      <w:pPr>
        <w:spacing w:after="80" w:before="80" w:line="276" w:lineRule="auto"/>
        <w:ind/>
      </w:pPr>
      <w:r>
        <w:rPr>
          <w:rFonts w:ascii="Arial" w:cs="Arial" w:eastAsia="Arial" w:hAnsi="Arial"/>
          <w:b w:val="false"/>
          <w:bCs w:val="false"/>
          <w:color w:val="2B2D42"/>
          <w:sz w:val="22"/>
          <w:szCs w:val="22"/>
        </w:rPr>
        <w:t xml:space="preserve">AfroCentric’s Integrated Annual Report for the year ended 31 December 2025, issued on 8 April 2026, stated: “AfroCentric maintains a zero-tolerance approach to unethical conduct. Mechanisms for reporting concerns include … an independent whistleblowing hotline … without fear of reprisal.” It stated: “There were no significant ESG-related incidents during the year, including legal non-compliance (whether under investigation, pending finalisation, or finalised) … no fines, settlements, or penalties relating to ESG incidents or breaches.”</w:t>
      </w:r>
    </w:p>
    <w:p>
      <w:pPr>
        <w:spacing w:after="80" w:before="80" w:line="276" w:lineRule="auto"/>
        <w:ind/>
      </w:pPr>
      <w:r>
        <w:rPr>
          <w:rFonts w:ascii="Arial" w:cs="Arial" w:eastAsia="Arial" w:hAnsi="Arial"/>
          <w:b w:val="false"/>
          <w:bCs w:val="false"/>
          <w:color w:val="2B2D42"/>
          <w:sz w:val="22"/>
          <w:szCs w:val="22"/>
        </w:rPr>
        <w:t xml:space="preserve">Both statements are demonstrably false. A specialist registered nurse made a protected disclosure and was retaliated against until he became homeless. The CRO issued a written instruction to stop emailing directors. The Board received a Priority 1 Material Risk Report and did not respond. A Section 162 delinquency application was filed against five directors. A B-BBEE fronting investigation was active. A criminal case (CAS 705/3/2026) was registered. An unlawful deduction of 40.47% had been processed. None of this was disclosed. The CEO’s founding affidavit in the High Court, filed on 16 April 2026, acknowledged the existence of Labour Court proceedings — yet those proceedings were omitted from the Annual Report approved for release on 31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AfroCentric Integrated Annual Report 2025 (extracts, p.10, p.21, p.87); High Court Founding Affidavit (Van Wyk, 16 April 2026); Labour Court Statement of Response (Makenjee, 19 May 2026); B-BBEE Commission case 5/02/2026 confirmation; CAS 705/3/2026 registration; payslip PS2; CRO suppression email I1.</w:t>
            </w:r>
          </w:p>
        </w:tc>
      </w:tr>
    </w:tbl>
    <w:p>
      <w:pPr>
        <w:spacing w:after="80" w:before="200"/>
      </w:pPr>
      <w:r>
        <w:rPr>
          <w:rFonts w:ascii="Arial" w:cs="Arial" w:eastAsia="Arial" w:hAnsi="Arial"/>
          <w:b/>
          <w:bCs/>
          <w:color w:val="2B2D42"/>
          <w:sz w:val="24"/>
          <w:szCs w:val="24"/>
        </w:rPr>
        <w:t xml:space="preserve">The FSCA’s Silence</w:t>
      </w:r>
    </w:p>
    <w:p>
      <w:pPr>
        <w:spacing w:after="80" w:before="80" w:line="276" w:lineRule="auto"/>
        <w:ind/>
      </w:pPr>
      <w:r>
        <w:rPr>
          <w:rFonts w:ascii="Arial" w:cs="Arial" w:eastAsia="Arial" w:hAnsi="Arial"/>
          <w:b w:val="false"/>
          <w:bCs w:val="false"/>
          <w:color w:val="2B2D42"/>
          <w:sz w:val="22"/>
          <w:szCs w:val="22"/>
        </w:rPr>
        <w:t xml:space="preserve">The complainant submitted a complaint to the FSCA (Ref: 1-370127) on approximately 23 December 2025 regarding governance failures, internal control breakdown, payroll discrepancies, and market disclosure concerns. On 19 March 2026, he provided a formal factual update. The FSCA acknowledged receipt. It has provided no substantive response. AfroCentric’s Integrated Report was published without any FSCA intervention. The FSCA has not issued a stop order, a public censure, or a direction under Sections 136, 137, or 138 of the Financial Sector Regulation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single" w:color="B01010" w:sz="24"/>
              <w:bottom w:val="single" w:color="B01010" w:sz="12"/>
              <w:right w:val="single" w:color="CCCCCC" w:sz="4"/>
            </w:tcBorders>
            <w:shd w:fill="FFF0F0" w:val="clear"/>
            <w:tcMar>
              <w:top w:type="dxa" w:w="160"/>
              <w:left w:type="dxa" w:w="240"/>
              <w:bottom w:type="dxa" w:w="160"/>
              <w:right w:type="dxa" w:w="240"/>
            </w:tcMar>
          </w:tcPr>
          <w:p>
            <w:pPr>
              <w:spacing w:after="60" w:before="0"/>
            </w:pPr>
            <w:r>
              <w:rPr>
                <w:rFonts w:ascii="Arial" w:cs="Arial" w:eastAsia="Arial" w:hAnsi="Arial"/>
                <w:b/>
                <w:bCs/>
                <w:color w:val="B01010"/>
                <w:sz w:val="20"/>
                <w:szCs w:val="20"/>
              </w:rPr>
              <w:t xml:space="preserve">FORENSIC FINDING — JSE AND FSCA</w:t>
            </w:r>
          </w:p>
          <w:p>
            <w:pPr>
              <w:spacing w:after="0" w:before="0"/>
            </w:pPr>
            <w:r>
              <w:rPr>
                <w:rFonts w:ascii="Arial" w:cs="Arial" w:eastAsia="Arial" w:hAnsi="Arial"/>
                <w:color w:val="2B2D42"/>
                <w:sz w:val="21"/>
                <w:szCs w:val="21"/>
              </w:rPr>
              <w:t xml:space="preserve">The JSE said ‘not our problem’ and the FSCA said nothing. The result: a corporate cover-up unchallenged. A market misled. A destitute whistleblower who provided 325 pages of evidence told to go to the Labour Court, a forum with no jurisdiction over market disclosure. Parliament must compel the JSE to reopen the complaint, require a corrective SENS announcement, and investigate AfroCentric’s Integrated Report. Parliament must compel the FSCA to respond to complaint Ref: 1-370127 within 30 days.</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NINE: FORENSIC INSTITUTIONAL REPORTS — SAHRC, SAPS, AND CCMA</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9.1  South African Human Rights Commission — Chapter 9 Abdication</w:t>
      </w:r>
    </w:p>
    <w:p>
      <w:pPr>
        <w:spacing w:after="80" w:before="200"/>
      </w:pPr>
      <w:r>
        <w:rPr>
          <w:rFonts w:ascii="Arial" w:cs="Arial" w:eastAsia="Arial" w:hAnsi="Arial"/>
          <w:b/>
          <w:bCs/>
          <w:color w:val="2B2D42"/>
          <w:sz w:val="24"/>
          <w:szCs w:val="24"/>
        </w:rPr>
        <w:t xml:space="preserve">What the SAHRC Received</w:t>
      </w:r>
    </w:p>
    <w:p>
      <w:pPr>
        <w:spacing w:after="80" w:before="80" w:line="276" w:lineRule="auto"/>
        <w:ind/>
      </w:pPr>
      <w:r>
        <w:rPr>
          <w:rFonts w:ascii="Arial" w:cs="Arial" w:eastAsia="Arial" w:hAnsi="Arial"/>
          <w:b w:val="false"/>
          <w:bCs w:val="false"/>
          <w:color w:val="2B2D42"/>
          <w:sz w:val="22"/>
          <w:szCs w:val="22"/>
        </w:rPr>
        <w:t xml:space="preserve">On 23 December 2025, the complainant lodged a complaint with the SAHRC invoking discrimination, victimisation, retaliation, and governance failure. On 10 February 2026, the SAHRC responded through Ms Lwethu Yoli, acknowledging the seriousness of the concerns but redirecting the complainant to the CCMA for employment aspects and to the Public Protector for state conduct. The complainant accepted the redirection, asking the SAHRC to keep the file as reference.</w:t>
      </w:r>
    </w:p>
    <w:p>
      <w:pPr>
        <w:spacing w:after="80" w:before="80" w:line="276" w:lineRule="auto"/>
        <w:ind/>
      </w:pPr>
      <w:r>
        <w:rPr>
          <w:rFonts w:ascii="Arial" w:cs="Arial" w:eastAsia="Arial" w:hAnsi="Arial"/>
          <w:b w:val="false"/>
          <w:bCs w:val="false"/>
          <w:color w:val="2B2D42"/>
          <w:sz w:val="22"/>
          <w:szCs w:val="22"/>
        </w:rPr>
        <w:t xml:space="preserve">On 13 March 2026, the complainant submitted a comprehensive 8-page update to the SAHRC. It contained the following: a forensic payroll finding of a R5,948.62 gap between the declared salary on the UI-19 (R27,725.66) and the actual payslip gross (R21,777.04) in the same month as the unlawful deduction; documented CCMA institutional bias and the Provincial Commissioner’s whitewash; the Labour Court portal obstruction (8 days, deleted profile, trivial rejection); the SAPS’ refusal to open a criminal case; and confirmed imminent eviction by end of March 2026, seizure of possessions, and no running water. The update explicitly invoked Sections 10 (dignity), 26 (housing), 27 (food, water, healthcare), and 33 (just administrative action).</w:t>
      </w:r>
    </w:p>
    <w:p>
      <w:pPr>
        <w:spacing w:after="80" w:before="80" w:line="276" w:lineRule="auto"/>
        <w:ind/>
      </w:pPr>
      <w:r>
        <w:rPr>
          <w:rFonts w:ascii="Arial" w:cs="Arial" w:eastAsia="Arial" w:hAnsi="Arial"/>
          <w:b w:val="false"/>
          <w:bCs w:val="false"/>
          <w:color w:val="2B2D42"/>
          <w:sz w:val="22"/>
          <w:szCs w:val="22"/>
        </w:rPr>
        <w:t xml:space="preserve">The SAHRC did not respond to the 13 March 2026 update. Not an acknowledgement. Not a referral. Not an apology. Nothing. The complainant has been homeless since 2 April 2026. The SAHRC remains silent.</w:t>
      </w:r>
    </w:p>
    <w:p>
      <w:pPr>
        <w:spacing w:after="80" w:before="200"/>
      </w:pPr>
      <w:r>
        <w:rPr>
          <w:rFonts w:ascii="Arial" w:cs="Arial" w:eastAsia="Arial" w:hAnsi="Arial"/>
          <w:b/>
          <w:bCs/>
          <w:color w:val="2B2D42"/>
          <w:sz w:val="24"/>
          <w:szCs w:val="24"/>
        </w:rPr>
        <w:t xml:space="preserve">Why the SAHRC’s Redirect Was an Abdication</w:t>
      </w:r>
    </w:p>
    <w:p>
      <w:pPr>
        <w:spacing w:after="80" w:before="80" w:line="276" w:lineRule="auto"/>
        <w:ind/>
      </w:pPr>
      <w:r>
        <w:rPr>
          <w:rFonts w:ascii="Arial" w:cs="Arial" w:eastAsia="Arial" w:hAnsi="Arial"/>
          <w:b w:val="false"/>
          <w:bCs w:val="false"/>
          <w:color w:val="2B2D42"/>
          <w:sz w:val="22"/>
          <w:szCs w:val="22"/>
        </w:rPr>
        <w:t xml:space="preserve">The SAHRC directed the complainant to the CCMA for employment aspects and to the Public Protector for state conduct. But the violations documented in the 13 March 2026 update — homelessness, no running water, no food, seizure of possessions — are not employment aspects. They are violations of Sections 26 and 27 of the Constitution. The CCMA cannot restore his home. The Public Protector investigates state organs, not private employers like Medscheme. The SAHRC, and only the SAHRC, has the broad mandate under Section 184(1) of the Constitution to investigate violations of the Bill of Rights by both state and private actors. By redirecting without retaining oversight, the SAHRC left these violations entirely unaddressed.</w:t>
      </w:r>
    </w:p>
    <w:p>
      <w:pPr>
        <w:spacing w:after="80" w:before="200"/>
      </w:pPr>
      <w:r>
        <w:rPr>
          <w:rFonts w:ascii="Arial" w:cs="Arial" w:eastAsia="Arial" w:hAnsi="Arial"/>
          <w:b/>
          <w:bCs/>
          <w:color w:val="2B2D42"/>
          <w:sz w:val="24"/>
          <w:szCs w:val="24"/>
        </w:rPr>
        <w:t xml:space="preserve">Forensic Finding</w:t>
      </w:r>
    </w:p>
    <w:p>
      <w:pPr>
        <w:spacing w:after="80" w:before="80" w:line="276" w:lineRule="auto"/>
        <w:ind/>
      </w:pPr>
      <w:r>
        <w:rPr>
          <w:rFonts w:ascii="Arial" w:cs="Arial" w:eastAsia="Arial" w:hAnsi="Arial"/>
          <w:b w:val="false"/>
          <w:bCs w:val="false"/>
          <w:color w:val="2B2D42"/>
          <w:sz w:val="22"/>
          <w:szCs w:val="22"/>
        </w:rPr>
        <w:t xml:space="preserve">The SAHRC is the constitutionally appointed guardian of human dignity, equality, and access to justice. The complainant came to the SAHRC in December 2025, already destitute, already discriminated against, already facing eviction. By 13 March 2026, he had no home, no water, no income, and no remedy from any of the eleven institutions he had approached. He laid all of this before the SAHRC in eight pages of documented evidence. The SAHRC’s response was silence. A Chapter 9 institution that acknowledges seriousness but does nothing is not a protector of human rights. It is a post office for complaints. Parliament must demand that the SAHRC explain this silence under oath.</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9.2  South African Police Service — Refusal to Investigate Crime</w:t>
      </w:r>
    </w:p>
    <w:p>
      <w:pPr>
        <w:spacing w:after="80" w:before="200"/>
      </w:pPr>
      <w:r>
        <w:rPr>
          <w:rFonts w:ascii="Arial" w:cs="Arial" w:eastAsia="Arial" w:hAnsi="Arial"/>
          <w:b/>
          <w:bCs/>
          <w:color w:val="2B2D42"/>
          <w:sz w:val="24"/>
          <w:szCs w:val="24"/>
        </w:rPr>
        <w:t xml:space="preserve">What Happened at Delft Police Station</w:t>
      </w:r>
    </w:p>
    <w:p>
      <w:pPr>
        <w:spacing w:after="80" w:before="80" w:line="276" w:lineRule="auto"/>
        <w:ind/>
      </w:pPr>
      <w:r>
        <w:rPr>
          <w:rFonts w:ascii="Arial" w:cs="Arial" w:eastAsia="Arial" w:hAnsi="Arial"/>
          <w:b w:val="false"/>
          <w:bCs w:val="false"/>
          <w:color w:val="2B2D42"/>
          <w:sz w:val="22"/>
          <w:szCs w:val="22"/>
        </w:rPr>
        <w:t xml:space="preserve">On 23 February 2026, the complainant attended SAPS Delft to open a criminal case for UIF non-remittance — a statutory offence under the Unemployment Insurance Contributions Act 4 of 2002 — and for the false written representations by senior HR officials Sipokazi Makaua and Cheryl-Dawn Modern. He presented payslips, uFiling portal screenshots showing “No Information” for June 2025, and written correspondence from the employer. A police officer at the station refused to open a case. That officer falsely claimed to be the station commander. The entire interaction is audio-recorded by the complainant.</w:t>
      </w:r>
    </w:p>
    <w:p>
      <w:pPr>
        <w:spacing w:after="80" w:before="80" w:line="276" w:lineRule="auto"/>
        <w:ind/>
      </w:pPr>
      <w:r>
        <w:rPr>
          <w:rFonts w:ascii="Arial" w:cs="Arial" w:eastAsia="Arial" w:hAnsi="Arial"/>
          <w:b w:val="false"/>
          <w:bCs w:val="false"/>
          <w:color w:val="2B2D42"/>
          <w:sz w:val="22"/>
          <w:szCs w:val="22"/>
        </w:rPr>
        <w:t xml:space="preserve">On the same day, the complainant submitted a formal written criminal complaint to the Directorate for Priority Crime Investigation with a detailed statement (SAPS_Criminal_Complaint_WW_Matthee_23Feb2026.PDF) setting out the UIF non-remittance, the false written representations, and the uFiling evidence. After escalation to Brigadier Naidoo, a case was eventually registered as CAS 705/3/2026 and transferred to SAPS Woodstock. The complainant then filed a formal complaint against Delft Police Station regarding the false station commander representation. That internal complaint was closed on the basis that a case number had been allocated — a logically indefensible conclusion that assumes the later allocation of a case number cures the original misconduct.</w:t>
      </w:r>
    </w:p>
    <w:p>
      <w:pPr>
        <w:spacing w:after="80" w:before="200"/>
      </w:pPr>
      <w:r>
        <w:rPr>
          <w:rFonts w:ascii="Arial" w:cs="Arial" w:eastAsia="Arial" w:hAnsi="Arial"/>
          <w:b/>
          <w:bCs/>
          <w:color w:val="2B2D42"/>
          <w:sz w:val="24"/>
          <w:szCs w:val="24"/>
        </w:rPr>
        <w:t xml:space="preserve">What Has Not Happened Since</w:t>
      </w:r>
    </w:p>
    <w:p>
      <w:pPr>
        <w:spacing w:after="80" w:before="80" w:line="276" w:lineRule="auto"/>
        <w:ind/>
      </w:pPr>
      <w:r>
        <w:rPr>
          <w:rFonts w:ascii="Arial" w:cs="Arial" w:eastAsia="Arial" w:hAnsi="Arial"/>
          <w:b w:val="false"/>
          <w:bCs w:val="false"/>
          <w:color w:val="2B2D42"/>
          <w:sz w:val="22"/>
          <w:szCs w:val="22"/>
        </w:rPr>
        <w:t xml:space="preserve">No investigating officer has contacted the complainant. No statements have been taken. No forensic examination of the uFiling portal or employer payroll records has been conducted. The audio recording of the Delft incident has not been requested by any SAPS oversight mechanism. The complainant has received no feedback, no case status update, and no indication of any investigative activity under CAS 705/3/2026.</w:t>
      </w:r>
    </w:p>
    <w:p>
      <w:pPr>
        <w:spacing w:after="80" w:before="200"/>
      </w:pPr>
      <w:r>
        <w:rPr>
          <w:rFonts w:ascii="Arial" w:cs="Arial" w:eastAsia="Arial" w:hAnsi="Arial"/>
          <w:b/>
          <w:bCs/>
          <w:color w:val="2B2D42"/>
          <w:sz w:val="24"/>
          <w:szCs w:val="24"/>
        </w:rPr>
        <w:t xml:space="preserve">Forensic Finding</w:t>
      </w:r>
    </w:p>
    <w:p>
      <w:pPr>
        <w:spacing w:after="80" w:before="80" w:line="276" w:lineRule="auto"/>
        <w:ind/>
      </w:pPr>
      <w:r>
        <w:rPr>
          <w:rFonts w:ascii="Arial" w:cs="Arial" w:eastAsia="Arial" w:hAnsi="Arial"/>
          <w:b w:val="false"/>
          <w:bCs w:val="false"/>
          <w:color w:val="2B2D42"/>
          <w:sz w:val="22"/>
          <w:szCs w:val="22"/>
        </w:rPr>
        <w:t xml:space="preserve">The alleged offences are not complex or doubtful. The uFiling portal is a government record that objectively shows “No Information” for June 2025. The employer’s written representations by Makaua and Modern are documented. The deduction from the payslip is documented. The absence of remittance is demonstrated. A police official who refuses to open a docket for a non-frivolous complaint supported by government records is not exercising discretion — he is breaching his constitutional duty under Section 205(3). The audio recording, which the complainant has retained and offered to Parliament, proves the false representation of rank. IPID must investigate this officer. Parliament must compel it to do so.</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9.3  Commission for Conciliation, Mediation and Arbitration (CCMA) — Secondary Institutional Trauma</w:t>
      </w:r>
    </w:p>
    <w:p>
      <w:pPr>
        <w:spacing w:after="80" w:before="200"/>
      </w:pPr>
      <w:r>
        <w:rPr>
          <w:rFonts w:ascii="Arial" w:cs="Arial" w:eastAsia="Arial" w:hAnsi="Arial"/>
          <w:b/>
          <w:bCs/>
          <w:color w:val="2B2D42"/>
          <w:sz w:val="24"/>
          <w:szCs w:val="24"/>
        </w:rPr>
        <w:t xml:space="preserve">What Happened on 9 January 2026</w:t>
      </w:r>
    </w:p>
    <w:p>
      <w:pPr>
        <w:spacing w:after="80" w:before="80" w:line="276" w:lineRule="auto"/>
        <w:ind/>
      </w:pPr>
      <w:r>
        <w:rPr>
          <w:rFonts w:ascii="Arial" w:cs="Arial" w:eastAsia="Arial" w:hAnsi="Arial"/>
          <w:b w:val="false"/>
          <w:bCs w:val="false"/>
          <w:color w:val="2B2D42"/>
          <w:sz w:val="22"/>
          <w:szCs w:val="22"/>
        </w:rPr>
        <w:t xml:space="preserve">The CCMA conciliation of 9 January 2026, before Commissioner Ntabiseng Ngwane, is documented in a 44-minute audio recording and a written transcript. The complainant presented at the CCMA as a homeless, mentally distressed, destitute whistleblower who had been constructively dismissed, subjected to an unlawful salary deduction, harassed on the basis of his gender identity, and denied access to UIF benefits through a false statutory declaration. He was self-represented. The employer was legally represented.</w:t>
      </w:r>
    </w:p>
    <w:p>
      <w:pPr>
        <w:spacing w:after="80" w:before="80" w:line="276" w:lineRule="auto"/>
        <w:ind/>
      </w:pPr>
      <w:r>
        <w:rPr>
          <w:rFonts w:ascii="Arial" w:cs="Arial" w:eastAsia="Arial" w:hAnsi="Arial"/>
          <w:b w:val="false"/>
          <w:bCs w:val="false"/>
          <w:color w:val="2B2D42"/>
          <w:sz w:val="22"/>
          <w:szCs w:val="22"/>
        </w:rPr>
        <w:t xml:space="preserve">Within minutes of the complainant identifying himself as a protected whistleblower, the Commissioner stated: “The file itself, nothing here relates to a protected disclosure dispute.” This was said before any substantive evidence was presented or tested. It is the judicial equivalent of a judge announcing the verdict before hearing the case. When the complainant asked how to find the Labour Court, the Commissioner told him to “Google it or something like that.” When the employer’s representative laughed at the complainant’s R2.5 million settlement demand, the Commissioner did not intervene. The Commissioner also failed to apply — or even cite — BCEA Section 34, despite the 40.47% deduction being central to the proceedings. When the employer stated that “our policy doesn’t permit staggering because that in essence would be an advance,” the Commissioner accepted this without challenge, ignoring that staggering is a repayment arrangement for monies already deducted — not an advance — and that the employer’s own written policy contradicted the representative’s statement.</w:t>
      </w:r>
    </w:p>
    <w:p>
      <w:pPr>
        <w:spacing w:after="80" w:before="200"/>
      </w:pPr>
      <w:r>
        <w:rPr>
          <w:rFonts w:ascii="Arial" w:cs="Arial" w:eastAsia="Arial" w:hAnsi="Arial"/>
          <w:b/>
          <w:bCs/>
          <w:color w:val="2B2D42"/>
          <w:sz w:val="24"/>
          <w:szCs w:val="24"/>
        </w:rPr>
        <w:t xml:space="preserve">The Provincial Senior Commissioner’s Cover-Up</w:t>
      </w:r>
    </w:p>
    <w:p>
      <w:pPr>
        <w:spacing w:after="80" w:before="80" w:line="276" w:lineRule="auto"/>
        <w:ind/>
      </w:pPr>
      <w:r>
        <w:rPr>
          <w:rFonts w:ascii="Arial" w:cs="Arial" w:eastAsia="Arial" w:hAnsi="Arial"/>
          <w:b w:val="false"/>
          <w:bCs w:val="false"/>
          <w:color w:val="2B2D42"/>
          <w:sz w:val="22"/>
          <w:szCs w:val="22"/>
        </w:rPr>
        <w:t xml:space="preserve">The complainant filed a formal complaint against Commissioner Ngwane on 10 January 2026, supported by transcript and audio evidence. On 28 January 2026, Provincial Senior Commissioner Vusumzi Landu responded. His response addressed each allegation with a combination of factual denial and institutional defensiveness: the Commissioner’s prejudgment was characterised as “establishing the nature of the dispute”; the “Google it” response was defended on the ground that the Commissioner was from Johannesburg and unfamiliar with Cape Town; the jurisdictional conclusions were reframed as references to arbitration rather than conciliation; and the audio recording — which documented the whole incident — was responded to with concern that the complainant had made the recording. In other words, the victim was blamed for documenting the misconduct.</w:t>
      </w:r>
    </w:p>
    <w:p>
      <w:pPr>
        <w:spacing w:after="80" w:before="80" w:line="276" w:lineRule="auto"/>
        <w:ind/>
      </w:pPr>
      <w:r>
        <w:rPr>
          <w:rFonts w:ascii="Arial" w:cs="Arial" w:eastAsia="Arial" w:hAnsi="Arial"/>
          <w:b w:val="false"/>
          <w:bCs w:val="false"/>
          <w:color w:val="2B2D42"/>
          <w:sz w:val="22"/>
          <w:szCs w:val="22"/>
        </w:rPr>
        <w:t xml:space="preserve">Multiple issues were entirely ignored by the PSC: the laughter at a vulnerable litigant’s settlement demand; the failure to challenge the employer’s legally incorrect characterisation of staggering; the failure to apply BCEA Section 34; and the failure to investigate the employer’s apparent approbation and reprobation — simultaneously relying on and disowning the same affidavit.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CCMA conciliation transcript (44 min); audio recording (available); Complaint to PSC, 10 January 2026; PSC Landu’s response, 28 January 2026 (all as referenced in the CCMA Forensic Report, Exhibits A-D).</w:t>
            </w:r>
          </w:p>
        </w:tc>
      </w:tr>
    </w:tbl>
    <w:p>
      <w:pPr>
        <w:spacing w:after="80" w:before="200"/>
      </w:pPr>
      <w:r>
        <w:rPr>
          <w:rFonts w:ascii="Arial" w:cs="Arial" w:eastAsia="Arial" w:hAnsi="Arial"/>
          <w:b/>
          <w:bCs/>
          <w:color w:val="2B2D42"/>
          <w:sz w:val="24"/>
          <w:szCs w:val="24"/>
        </w:rPr>
        <w:t xml:space="preserve">The CCMA Mailbox Obstruction</w:t>
      </w:r>
    </w:p>
    <w:p>
      <w:pPr>
        <w:spacing w:after="80" w:before="80" w:line="276" w:lineRule="auto"/>
        <w:ind/>
      </w:pPr>
      <w:r>
        <w:rPr>
          <w:rFonts w:ascii="Arial" w:cs="Arial" w:eastAsia="Arial" w:hAnsi="Arial"/>
          <w:b w:val="false"/>
          <w:bCs w:val="false"/>
          <w:color w:val="2B2D42"/>
          <w:sz w:val="22"/>
          <w:szCs w:val="22"/>
        </w:rPr>
        <w:t xml:space="preserve">Separately from the conciliation itself, the CCMA’s central filing email address (CMS@CCMA.org.za) returned a “mailbox full” error when the complainant attempted to file a replying affidavit and amendment request in December 2025. A statutory dispute resolution body cannot have a full mailbox that prevents time-sensitive documents from being filed by a self-represented destitute litigant. This is either gross administrative negligence or a deliberate barrier to access. Either way, it violates Section 34 of the Constitution (access to courts) and Section 33 (just administrative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single" w:color="B01010" w:sz="24"/>
              <w:bottom w:val="single" w:color="B01010" w:sz="12"/>
              <w:right w:val="single" w:color="CCCCCC" w:sz="4"/>
            </w:tcBorders>
            <w:shd w:fill="FFF0F0" w:val="clear"/>
            <w:tcMar>
              <w:top w:type="dxa" w:w="160"/>
              <w:left w:type="dxa" w:w="240"/>
              <w:bottom w:type="dxa" w:w="160"/>
              <w:right w:type="dxa" w:w="240"/>
            </w:tcMar>
          </w:tcPr>
          <w:p>
            <w:pPr>
              <w:spacing w:after="60" w:before="0"/>
            </w:pPr>
            <w:r>
              <w:rPr>
                <w:rFonts w:ascii="Arial" w:cs="Arial" w:eastAsia="Arial" w:hAnsi="Arial"/>
                <w:b/>
                <w:bCs/>
                <w:color w:val="B01010"/>
                <w:sz w:val="20"/>
                <w:szCs w:val="20"/>
              </w:rPr>
              <w:t xml:space="preserve">FORENSIC CONCLUSION — CCMA</w:t>
            </w:r>
          </w:p>
          <w:p>
            <w:pPr>
              <w:spacing w:after="0" w:before="0"/>
            </w:pPr>
            <w:r>
              <w:rPr>
                <w:rFonts w:ascii="Arial" w:cs="Arial" w:eastAsia="Arial" w:hAnsi="Arial"/>
                <w:color w:val="2B2D42"/>
                <w:sz w:val="21"/>
                <w:szCs w:val="21"/>
              </w:rPr>
              <w:t xml:space="preserve">The CCMA was created to provide quick, fair, and accessible dispute resolution. On 9 January 2026, it did the opposite. A homeless whistleblower was told his PDA claim was irrelevant before he spoke. He was told to Google the Labour Court address. He was laughed at. His medical condition was dismissed as cynical. When he complained, the Provincial Commissioner conducted a whitewash and blamed him for recording the session. The CCMA’s internal complaint process is not fit for purpose. Parliament must establish an independent external complaints mechanism for CCMA commissioner misconduct, separate from the institution that failed him.</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TEN: FORENSIC REPORT — JUDICIAL OBSTRUCTION AND BAD FAITH LITIGATION</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10.1  The High Court — Case 2026-086906: The Gag Order</w:t>
      </w:r>
    </w:p>
    <w:p>
      <w:pPr>
        <w:spacing w:after="80" w:before="200"/>
      </w:pPr>
      <w:r>
        <w:rPr>
          <w:rFonts w:ascii="Arial" w:cs="Arial" w:eastAsia="Arial" w:hAnsi="Arial"/>
          <w:b/>
          <w:bCs/>
          <w:color w:val="2B2D42"/>
          <w:sz w:val="24"/>
          <w:szCs w:val="24"/>
        </w:rPr>
        <w:t xml:space="preserve">The Fraud on the Court</w:t>
      </w:r>
    </w:p>
    <w:p>
      <w:pPr>
        <w:spacing w:after="80" w:before="80" w:line="276" w:lineRule="auto"/>
        <w:ind/>
      </w:pPr>
      <w:r>
        <w:rPr>
          <w:rFonts w:ascii="Arial" w:cs="Arial" w:eastAsia="Arial" w:hAnsi="Arial"/>
          <w:b w:val="false"/>
          <w:bCs w:val="false"/>
          <w:color w:val="2B2D42"/>
          <w:sz w:val="22"/>
          <w:szCs w:val="22"/>
        </w:rPr>
        <w:t xml:space="preserve">On the morning of 16 April 2026, at 08:53, the employer’s application papers were served on the whistleblower — only 67 minutes before the scheduled hearing. The whistleblower, who was destitute and had no transport money, served an answering affidavit and a notice of intention to oppose by email on the employer’s attorneys before the hearing. He was unable to attend in person. The employer’s attorneys (Deneys Reitz Inc.) appeared before Acting Justice Mphego. They did not hand up the whistleblower’s answering affidavit. They did not inform the court that the matter was opposed. The court was presented with an unopposed application. The rule nisi and interim interdict were granted on the false premise that the matter was unopposed.</w:t>
      </w:r>
    </w:p>
    <w:p>
      <w:pPr>
        <w:spacing w:after="80" w:before="80" w:line="276" w:lineRule="auto"/>
        <w:ind/>
      </w:pPr>
      <w:r>
        <w:rPr>
          <w:rFonts w:ascii="Arial" w:cs="Arial" w:eastAsia="Arial" w:hAnsi="Arial"/>
          <w:b w:val="false"/>
          <w:bCs w:val="false"/>
          <w:color w:val="2B2D42"/>
          <w:sz w:val="22"/>
          <w:szCs w:val="22"/>
        </w:rPr>
        <w:t xml:space="preserve">The employer’s own supplementary founding affidavit subsequently acknowledged that multiple emails had been received from the whistleblower confirming his opposition. The attorneys knew the matter was opposed. They chose not to tell the court. This is a breach of Rule 3.1 of the Legal Practice Council Code of Conduct — the duty not to mislead the court — and it vitiates the entire order. The order was obtained by concealment. It is a fraud on the court.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4A5A" w:sz="16"/>
              <w:bottom w:val="single" w:color="CCCCCC" w:sz="4"/>
              <w:right w:val="single" w:color="CCCCCC" w:sz="4"/>
            </w:tcBorders>
            <w:shd w:fill="F4F4F6" w:val="clear"/>
            <w:tcMar>
              <w:top w:type="dxa" w:w="100"/>
              <w:left w:type="dxa" w:w="200"/>
              <w:bottom w:type="dxa" w:w="100"/>
              <w:right w:type="dxa" w:w="200"/>
            </w:tcMar>
          </w:tcPr>
          <w:p>
            <w:r>
              <w:rPr>
                <w:rFonts w:ascii="Arial" w:cs="Arial" w:eastAsia="Arial" w:hAnsi="Arial"/>
                <w:color w:val="4A4A5A"/>
                <w:sz w:val="20"/>
                <w:szCs w:val="20"/>
              </w:rPr>
              <w:t xml:space="preserve">Evidence: Supplementary Founding Affidavit (employer’s), para 11 (acknowledging receipt of emails from whistleblower); Whistleblower’s Supplementary Answering Affidavit, para 1 (documenting procedural fraud); Answering Affidavit service email, morning of 16 April 2026.</w:t>
            </w:r>
          </w:p>
        </w:tc>
      </w:tr>
    </w:tbl>
    <w:p>
      <w:pPr>
        <w:spacing w:after="80" w:before="200"/>
      </w:pPr>
      <w:r>
        <w:rPr>
          <w:rFonts w:ascii="Arial" w:cs="Arial" w:eastAsia="Arial" w:hAnsi="Arial"/>
          <w:b/>
          <w:bCs/>
          <w:color w:val="2B2D42"/>
          <w:sz w:val="24"/>
          <w:szCs w:val="24"/>
        </w:rPr>
        <w:t xml:space="preserve">The Gag Order Overrides the Protected Disclosures Act</w:t>
      </w:r>
    </w:p>
    <w:p>
      <w:pPr>
        <w:spacing w:after="80" w:before="80" w:line="276" w:lineRule="auto"/>
        <w:ind/>
      </w:pPr>
      <w:r>
        <w:rPr>
          <w:rFonts w:ascii="Arial" w:cs="Arial" w:eastAsia="Arial" w:hAnsi="Arial"/>
          <w:b w:val="false"/>
          <w:bCs w:val="false"/>
          <w:color w:val="2B2D42"/>
          <w:sz w:val="22"/>
          <w:szCs w:val="22"/>
        </w:rPr>
        <w:t xml:space="preserve">The interim interdict prohibits the whistleblower from disclosing information to trade unions (PSA, NEHAWU, DENOSA, POPCRU), from filing complaints with the JSE, CIPC, IRBA, or any other regulatory body, and from communicating with trade unions for the purpose of collective action. Section 9 of the PDA expressly protects disclosures to trade unions and regulatory bodies where the employee reasonably believes the matter falls within their mandate. A systemic clinical risk affecting 1.9 million government employees — many of them union members — falls squarely within the mandate of trade unions and of the regulators listed. The court, without considering the PDA, granted an order that criminalises protected conduct. This is a grave error of law.</w:t>
      </w:r>
    </w:p>
    <w:p>
      <w:pPr>
        <w:spacing w:after="80" w:before="200"/>
      </w:pPr>
      <w:r>
        <w:rPr>
          <w:rFonts w:ascii="Arial" w:cs="Arial" w:eastAsia="Arial" w:hAnsi="Arial"/>
          <w:b/>
          <w:bCs/>
          <w:color w:val="2B2D42"/>
          <w:sz w:val="24"/>
          <w:szCs w:val="24"/>
        </w:rPr>
        <w:t xml:space="preserve">The Extortion Narrative — A False Premise</w:t>
      </w:r>
    </w:p>
    <w:p>
      <w:pPr>
        <w:spacing w:after="80" w:before="80" w:line="276" w:lineRule="auto"/>
        <w:ind/>
      </w:pPr>
      <w:r>
        <w:rPr>
          <w:rFonts w:ascii="Arial" w:cs="Arial" w:eastAsia="Arial" w:hAnsi="Arial"/>
          <w:b w:val="false"/>
          <w:bCs w:val="false"/>
          <w:color w:val="2B2D42"/>
          <w:sz w:val="22"/>
          <w:szCs w:val="22"/>
        </w:rPr>
        <w:t xml:space="preserve">The employer characterised the whistleblower’s settlement demand as “extortion” to obtain the ex parte gag order. The characterisation was false. The whistleblower had filed his Labour Court Statement of Claim on 9 April 2026 — before the 14-15 April settlement correspondence. The employer’s own cease-and-desist letter complained that the demand was “unquantified” and requested quantification. The whistleblower provided a fully itemised quantification within hours. A genuine extortionist does not itemise at the opposing party’s request. The primary demand was not money but the downgrading of a 9.5% premium hike to 5% — a public interest demand affecting 1.9 million GEMS members. The court was misled.</w:t>
      </w:r>
    </w:p>
    <w:p>
      <w:pPr>
        <w:spacing w:after="80" w:before="200"/>
      </w:pPr>
      <w:r>
        <w:rPr>
          <w:rFonts w:ascii="Arial" w:cs="Arial" w:eastAsia="Arial" w:hAnsi="Arial"/>
          <w:b/>
          <w:bCs/>
          <w:color w:val="2B2D42"/>
          <w:sz w:val="24"/>
          <w:szCs w:val="24"/>
        </w:rPr>
        <w:t xml:space="preserve">Extension to 1 March 2027 — An Abuse of the Rule Nisi Procedure</w:t>
      </w:r>
    </w:p>
    <w:p>
      <w:pPr>
        <w:spacing w:after="80" w:before="80" w:line="276" w:lineRule="auto"/>
        <w:ind/>
      </w:pPr>
      <w:r>
        <w:rPr>
          <w:rFonts w:ascii="Arial" w:cs="Arial" w:eastAsia="Arial" w:hAnsi="Arial"/>
          <w:b w:val="false"/>
          <w:bCs w:val="false"/>
          <w:color w:val="2B2D42"/>
          <w:sz w:val="22"/>
          <w:szCs w:val="22"/>
        </w:rPr>
        <w:t xml:space="preserve">On 19 May 2026, the employer filed a Practice Note requesting that the matter be placed on the semi-urgent roll for 1 March 2027 — more than ten months after the interim order. On 28 May 2026, the court extended the rule nisi and the interim interdict to that date. An interim interdict that restrains speech for nearly a year is, in substance, a final interdict granted without a final hearing. The court did not require the employer to justify the ten-month delay or to consider the ongoing harm to the destitute whistleblower. This is an abuse of the rule nisi mechanism and a violation of Sections 16 and 34 of the Constitution.</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10.2  The Labour Court — Portal Obstruction and Default Judgment Delay</w:t>
      </w:r>
    </w:p>
    <w:p>
      <w:pPr>
        <w:spacing w:after="80" w:before="200"/>
      </w:pPr>
      <w:r>
        <w:rPr>
          <w:rFonts w:ascii="Arial" w:cs="Arial" w:eastAsia="Arial" w:hAnsi="Arial"/>
          <w:b/>
          <w:bCs/>
          <w:color w:val="2B2D42"/>
          <w:sz w:val="24"/>
          <w:szCs w:val="24"/>
        </w:rPr>
        <w:t xml:space="preserve">Eight Days of Online Portal Obstruction</w:t>
      </w:r>
    </w:p>
    <w:p>
      <w:pPr>
        <w:spacing w:after="80" w:before="80" w:line="276" w:lineRule="auto"/>
        <w:ind/>
      </w:pPr>
      <w:r>
        <w:rPr>
          <w:rFonts w:ascii="Arial" w:cs="Arial" w:eastAsia="Arial" w:hAnsi="Arial"/>
          <w:b w:val="false"/>
          <w:bCs w:val="false"/>
          <w:color w:val="2B2D42"/>
          <w:sz w:val="22"/>
          <w:szCs w:val="22"/>
        </w:rPr>
        <w:t xml:space="preserve">From 5 March 2026, the complainant attempted to file an urgent application in the Labour Court. His online portal profile was deleted. He called the court’s call centre more than seven times, with hold times of 40-50 minutes and repeated dropped calls. He emailed the Registrar, Ms F Ismail, and received no response. On 12 March 2026, he sent a formal notice threatening escalation to the Judge President. No response was received. Later that day, the portal unexpectedly allowed him to load the application. It was rejected. The stated reason: “good day you put date.” This was a trivial formatting issue that could have been corrected in seconds. Instead, it was used to reject an urgent application from a destitute, disabled, homeless applicant facing imminent eviction. When he returned to the portal to correct and resubmit, he could not access it again, requiring four password resets, and his application was found to be missing.</w:t>
      </w:r>
    </w:p>
    <w:p>
      <w:pPr>
        <w:spacing w:after="80" w:before="200"/>
      </w:pPr>
      <w:r>
        <w:rPr>
          <w:rFonts w:ascii="Arial" w:cs="Arial" w:eastAsia="Arial" w:hAnsi="Arial"/>
          <w:b/>
          <w:bCs/>
          <w:color w:val="2B2D42"/>
          <w:sz w:val="24"/>
          <w:szCs w:val="24"/>
        </w:rPr>
        <w:t xml:space="preserve">The Default Judgment Application — Six Weeks of Delay</w:t>
      </w:r>
    </w:p>
    <w:p>
      <w:pPr>
        <w:spacing w:after="80" w:before="80" w:line="276" w:lineRule="auto"/>
        <w:ind/>
      </w:pPr>
      <w:r>
        <w:rPr>
          <w:rFonts w:ascii="Arial" w:cs="Arial" w:eastAsia="Arial" w:hAnsi="Arial"/>
          <w:b w:val="false"/>
          <w:bCs w:val="false"/>
          <w:color w:val="2B2D42"/>
          <w:sz w:val="22"/>
          <w:szCs w:val="22"/>
        </w:rPr>
        <w:t xml:space="preserve">On 14 April 2026, the BCEA s77A application was served on the employer. The opposition period expired on 29 April 2026 without any notice of intention to oppose being filed. On 30 April 2026, the complainant filed his application for Default Judgment on an uncontested liquidated claim of R14,811.77. On 8 May 2026, he wrote to the Registrar requesting allocation of a date. No response. On 12 May 2026, the Registrar acknowledged a backlog but gave no date. On 3 June 2026, a follow-up was ignored. On 10 June 2026, escalation to the Judge President produced no date. As of the date of this submission, the default judgment on an uncontested BCEA claim has been delayed for over six weeks. This is administrative negligence that denies the whistleblower his only realistic financial remedy.</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10.3  Perjury Matrix — Sworn Falsehoods Across Courts</w:t>
      </w:r>
    </w:p>
    <w:p>
      <w:pPr>
        <w:spacing w:after="80" w:before="80" w:line="276" w:lineRule="auto"/>
        <w:ind/>
      </w:pPr>
      <w:r>
        <w:rPr>
          <w:rFonts w:ascii="Arial" w:cs="Arial" w:eastAsia="Arial" w:hAnsi="Arial"/>
          <w:b w:val="false"/>
          <w:bCs w:val="false"/>
          <w:color w:val="2B2D42"/>
          <w:sz w:val="22"/>
          <w:szCs w:val="22"/>
        </w:rPr>
        <w:t xml:space="preserve">One of the most serious aspects of this case is the pattern of apparent perjury across the employer’s sworn statements in different courts. The following contradictions have been identified and are referred to the National Prosecuting Authority.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20"/>
                <w:szCs w:val="20"/>
              </w:rPr>
              <w:t xml:space="preserve">Sworn Statement</w:t>
            </w:r>
          </w:p>
        </w:tc>
        <w:tc>
          <w:tcPr>
            <w:tcW w:type="dxa" w:w="348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20"/>
                <w:szCs w:val="20"/>
              </w:rPr>
              <w:t xml:space="preserve">In Which Document</w:t>
            </w:r>
          </w:p>
        </w:tc>
        <w:tc>
          <w:tcPr>
            <w:tcW w:type="dxa" w:w="368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20"/>
                <w:szCs w:val="20"/>
              </w:rPr>
              <w:t xml:space="preserve">Contradiction</w:t>
            </w:r>
          </w:p>
        </w:tc>
      </w:tr>
      <w:tr>
        <w:tc>
          <w:tcPr>
            <w:tcW w:type="dxa" w:w="220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Both platforms fully integrated … designed to work together.</w:t>
            </w:r>
          </w:p>
        </w:tc>
        <w:tc>
          <w:tcPr>
            <w:tcW w:type="dxa" w:w="34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High Court Founding Affidavit (Gerald Van Wyk, 16 April 2026)</w:t>
            </w:r>
          </w:p>
        </w:tc>
        <w:tc>
          <w:tcPr>
            <w:tcW w:type="dxa" w:w="36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Medscheme’s own Root Cause Analysis (VICT1) confirms: ‘miscommunication between Gexus and DMS systems … system integration gaps.’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The PDA does not protect former employees.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High Court Founding Affidavit (Van Wyk, 16 April 2026)</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PDA Section 1 expressly includes ‘former employee’ in its definition of protected person.</w:t>
            </w:r>
          </w:p>
        </w:tc>
      </w:tr>
      <w:tr>
        <w:tc>
          <w:tcPr>
            <w:tcW w:type="dxa" w:w="220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The Defendants are not aware of any further claim in the above honourable court with case number 2026-077546.</w:t>
            </w:r>
          </w:p>
        </w:tc>
        <w:tc>
          <w:tcPr>
            <w:tcW w:type="dxa" w:w="34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Labour Court Statement of Response (Vijay Makenjee, 19 May 2026)</w:t>
            </w:r>
          </w:p>
        </w:tc>
        <w:tc>
          <w:tcPr>
            <w:tcW w:type="dxa" w:w="36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Van Wyk’s High Court affidavit acknowledged the Labour Court proceedings: ‘The applicant intends to defend those Labour Court proceedings in due course.’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[PTSD and depression are] an excuse … an afterthought … cynical excuse.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CCMA Opposing Affidavit (Xolile Manyati, 10 December 2025)</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Dr Jacques Malan’s specialist psychiatric letter (16 May 2025) confirms formal diagnosis. The letter was provided to the employer two months before the deduction — and seven months before the affidavit.</w:t>
            </w:r>
          </w:p>
        </w:tc>
      </w:tr>
    </w:tbl>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10.4  The Bad Faith Litigation Playbook</w:t>
      </w:r>
    </w:p>
    <w:p>
      <w:pPr>
        <w:spacing w:after="80" w:before="80" w:line="276" w:lineRule="auto"/>
        <w:ind/>
      </w:pPr>
      <w:r>
        <w:rPr>
          <w:rFonts w:ascii="Arial" w:cs="Arial" w:eastAsia="Arial" w:hAnsi="Arial"/>
          <w:b w:val="false"/>
          <w:bCs w:val="false"/>
          <w:color w:val="2B2D42"/>
          <w:sz w:val="22"/>
          <w:szCs w:val="22"/>
        </w:rPr>
        <w:t xml:space="preserve">The employer and its attorneys have deployed a systematic strategy of litigation attrition — designed not to win on the merits but to exhaust a destitute, homeless, mentally distressed, self-represented litigant into surrender. The strategy has nine identifiable steps, all documented in correspondence available to Parliament.</w:t>
      </w:r>
    </w:p>
    <w:p>
      <w:pPr>
        <w:spacing w:after="80" w:before="80" w:line="276" w:lineRule="auto"/>
        <w:ind/>
      </w:pPr>
      <w:r>
        <w:rPr>
          <w:rFonts w:ascii="Arial" w:cs="Arial" w:eastAsia="Arial" w:hAnsi="Arial"/>
          <w:b w:val="false"/>
          <w:bCs w:val="false"/>
          <w:color w:val="2B2D42"/>
          <w:sz w:val="22"/>
          <w:szCs w:val="22"/>
        </w:rPr>
        <w:t xml:space="preserve">Step one: File a defective Statement of Response on behalf of a non-cited entity (“AfroCentric RF (Pty) Ltd” instead of the cited respondents), without a verifying affidavit, to create procedural confusion. Step two: Swear under oath that the defendants are “not aware” of a concurrent claim that the Group CEO had acknowledged in a High Court affidavit a month earlier. Step three: After pleadings close, retroactively dispute service, claiming the Replication was not sent to the designated address that had been used throughout. Step four: Propose a pre-trial conference date falling outside the statutory 14-day window. Step five: Respond to a detailed statutory compliance proposal with the words “Good luck to you then.” Step six: Send a ‘without prejudice’ settlement letter that, in consecutive paragraphs, threatens contempt of court and proposes an amicable resolution — a conditional threat disguised as an olive branch. Step seven: Read the whistleblower’s acceptance of settlement discussions within one hour, then go silent for over a week. Step eight: After the silence period, claim to be “in the process of taking instructions” — despite those instructions having been taken before the letter was sent. Step nine: Simultaneously claim not to act for the Labour Court defendants while acting for the same corporate group in the High Court — creating maximal confusion about representation.</w:t>
      </w:r>
    </w:p>
    <w:p>
      <w:pPr>
        <w:spacing w:after="80" w:before="80" w:line="276" w:lineRule="auto"/>
        <w:ind/>
      </w:pPr>
      <w:r>
        <w:rPr>
          <w:rFonts w:ascii="Arial" w:cs="Arial" w:eastAsia="Arial" w:hAnsi="Arial"/>
          <w:b w:val="false"/>
          <w:bCs w:val="false"/>
          <w:color w:val="2B2D42"/>
          <w:sz w:val="22"/>
          <w:szCs w:val="22"/>
        </w:rPr>
        <w:t xml:space="preserve">The human cost of each day of delay is: extended homelessness, deepened debt, worsened mental health, and delayed access to UIF benefits and any Labour Court remedy. The employer knows this. The “Good luck to you then” response was sent with full knowledge of the whistleblower’s condition. This is not litigation. It is cruelty dressed in legal garb.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single" w:color="B01010" w:sz="24"/>
              <w:bottom w:val="single" w:color="B01010" w:sz="12"/>
              <w:right w:val="single" w:color="CCCCCC" w:sz="4"/>
            </w:tcBorders>
            <w:shd w:fill="FFF0F0" w:val="clear"/>
            <w:tcMar>
              <w:top w:type="dxa" w:w="160"/>
              <w:left w:type="dxa" w:w="240"/>
              <w:bottom w:type="dxa" w:w="160"/>
              <w:right w:type="dxa" w:w="240"/>
            </w:tcMar>
          </w:tcPr>
          <w:p>
            <w:pPr>
              <w:spacing w:after="60" w:before="0"/>
            </w:pPr>
            <w:r>
              <w:rPr>
                <w:rFonts w:ascii="Arial" w:cs="Arial" w:eastAsia="Arial" w:hAnsi="Arial"/>
                <w:b/>
                <w:bCs/>
                <w:color w:val="B01010"/>
                <w:sz w:val="20"/>
                <w:szCs w:val="20"/>
              </w:rPr>
              <w:t xml:space="preserve">THE CONTEMPT THREAT — AN UNCONSTITUTIONAL OVERREACH</w:t>
            </w:r>
          </w:p>
          <w:p>
            <w:pPr>
              <w:spacing w:after="0" w:before="0"/>
            </w:pPr>
            <w:r>
              <w:rPr>
                <w:rFonts w:ascii="Arial" w:cs="Arial" w:eastAsia="Arial" w:hAnsi="Arial"/>
                <w:color w:val="2B2D42"/>
                <w:sz w:val="21"/>
                <w:szCs w:val="21"/>
              </w:rPr>
              <w:t xml:space="preserve">Deneys’ letter of 4 June 2026 warned that submitting evidence to Parliament “would violate the terms of the Order and would place you in contempt of court.” This threat is legally untenable. A citizen’s right to petition Parliament under Section 56 of the Constitution cannot be extinguished by a private litigant’s interim court order. Parliament is not “the public at large.” It is the supreme legislative and oversight organ of the Republic. The employer attempted to use a court order obtained by concealment to block a constitutional right. This is a gross abuse of court process. Parliament should issue a statement affirming that no private litigant or court order can prevent a citizen from exercising his Section 56 right.</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ELEVEN: FORENSIC REPORT — THE WHISTLEBLOWER HOUSE AND SCHROTER ATTORNEYS</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The Whistleblower House (TWBH) is an organisation whose stated mandate is to support whistleblowers. On 19 February 2026, it referred the complainant’s case to attorney Marco van der Walt of Schroter Attorneys for a preliminary legal assessment. What followed was a superficial assessment marred by legal error, a failure to engage with key evidence, and an abandonment of the complainant at the moment of his greatest vulnerability.</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11.1  The Legal Errors in Van Der Walt’s Opinion</w:t>
      </w:r>
    </w:p>
    <w:p>
      <w:pPr>
        <w:spacing w:after="80" w:before="200"/>
      </w:pPr>
      <w:r>
        <w:rPr>
          <w:rFonts w:ascii="Arial" w:cs="Arial" w:eastAsia="Arial" w:hAnsi="Arial"/>
          <w:b/>
          <w:bCs/>
          <w:color w:val="2B2D42"/>
          <w:sz w:val="24"/>
          <w:szCs w:val="24"/>
        </w:rPr>
        <w:t xml:space="preserve">Error 1: ‘No Work No Pay’ — Ignoring BCEA Section 34(2)</w:t>
      </w:r>
    </w:p>
    <w:p>
      <w:pPr>
        <w:spacing w:after="80" w:before="80" w:line="276" w:lineRule="auto"/>
        <w:ind/>
      </w:pPr>
      <w:r>
        <w:rPr>
          <w:rFonts w:ascii="Arial" w:cs="Arial" w:eastAsia="Arial" w:hAnsi="Arial"/>
          <w:b w:val="false"/>
          <w:bCs w:val="false"/>
          <w:color w:val="2B2D42"/>
          <w:sz w:val="22"/>
          <w:szCs w:val="22"/>
        </w:rPr>
        <w:t xml:space="preserve">Van der Walt characterised the 40.47% salary deduction as “correctly handled by the employer” applying the “no work no pay” principle. This characterisation is legally incorrect. The complainant was between psychiatric facilities awaiting a hospital bed, a fact confirmed by Dr Jacques Malan’s specialist letter of 16 May 2025. This was not voluntary absence. The employer’s own HCBP Policy treats the recovery as a deduction subject to a 25% cap and a mandatory prior consultation obligation. The employer’s manager stated in writing that the company “does not stagger debt” — yet the HCBP Policy, sent by the same manager the following day, shows staggering is permitted. The R14,811.77 deduction represented 40.47% of gross monthly remuneration in a single pay cycle, exceeding the statutory cap by 15.47 percentage points. Van der Walt did not cite BCEA Section 34(2). He did not request the HCBP Policy. He did not engage with the medical evidence.</w:t>
      </w:r>
    </w:p>
    <w:p>
      <w:pPr>
        <w:spacing w:after="80" w:before="200"/>
      </w:pPr>
      <w:r>
        <w:rPr>
          <w:rFonts w:ascii="Arial" w:cs="Arial" w:eastAsia="Arial" w:hAnsi="Arial"/>
          <w:b/>
          <w:bCs/>
          <w:color w:val="2B2D42"/>
          <w:sz w:val="24"/>
          <w:szCs w:val="24"/>
        </w:rPr>
        <w:t xml:space="preserve">Error 2: The Integration Failure as a ‘Single Isolated System Glitch’</w:t>
      </w:r>
    </w:p>
    <w:p>
      <w:pPr>
        <w:spacing w:after="80" w:before="80" w:line="276" w:lineRule="auto"/>
        <w:ind/>
      </w:pPr>
      <w:r>
        <w:rPr>
          <w:rFonts w:ascii="Arial" w:cs="Arial" w:eastAsia="Arial" w:hAnsi="Arial"/>
          <w:b w:val="false"/>
          <w:bCs w:val="false"/>
          <w:color w:val="2B2D42"/>
          <w:sz w:val="22"/>
          <w:szCs w:val="22"/>
        </w:rPr>
        <w:t xml:space="preserve">Van der Walt dismissed the Gexus-DMS integration failure as “a system error rather than conduct that would ordinarily constitute an impropriety, other breach, or criminal conduct.” The Root Cause Analysis — generated by Medscheme’s own systems — confirms the failure is structural: it affects any GEMS member who transitions from acute to chronic benefit. It is not a one-off glitch. The error generated automated false letters on two separate occasions across a six-month period to the same 75-year-old patient. The CMS formally acknowledged the disclosure. Van der Walt either did not read the Root Cause Analysis or chose to minimise it. His characterisation is factually incorrect and undermines the entire protected disclosure claim.</w:t>
      </w:r>
    </w:p>
    <w:p>
      <w:pPr>
        <w:spacing w:after="80" w:before="200"/>
      </w:pPr>
      <w:r>
        <w:rPr>
          <w:rFonts w:ascii="Arial" w:cs="Arial" w:eastAsia="Arial" w:hAnsi="Arial"/>
          <w:b/>
          <w:bCs/>
          <w:color w:val="2B2D42"/>
          <w:sz w:val="24"/>
          <w:szCs w:val="24"/>
        </w:rPr>
        <w:t xml:space="preserve">Error 3: Suggesting External Regulatory Complaints Were ‘Bad Faith’</w:t>
      </w:r>
    </w:p>
    <w:p>
      <w:pPr>
        <w:spacing w:after="80" w:before="80" w:line="276" w:lineRule="auto"/>
        <w:ind/>
      </w:pPr>
      <w:r>
        <w:rPr>
          <w:rFonts w:ascii="Arial" w:cs="Arial" w:eastAsia="Arial" w:hAnsi="Arial"/>
          <w:b w:val="false"/>
          <w:bCs w:val="false"/>
          <w:color w:val="2B2D42"/>
          <w:sz w:val="22"/>
          <w:szCs w:val="22"/>
        </w:rPr>
        <w:t xml:space="preserve">Van der Walt suggested that the complainant’s disclosures to external regulators (CMS, SAHRC, JSE) after internal procedures failed to yield results might be characterised as “bad faith” and “in retaliation.” This is the most serious legal error of all. Section 9 of the Protected Disclosures Act expressly protects disclosures made to regulatory bodies where the employee reasonably believes the matter falls within their mandate. The complainant escalated externally only after exhausting internal avenues including the Board. The suggestion that this is “bad faith” is legally erroneous and contrary to the plain text of the PDA.</w:t>
      </w:r>
    </w:p>
    <w:p>
      <w:pPr>
        <w:spacing w:after="80" w:before="200"/>
      </w:pPr>
      <w:r>
        <w:rPr>
          <w:rFonts w:ascii="Arial" w:cs="Arial" w:eastAsia="Arial" w:hAnsi="Arial"/>
          <w:b/>
          <w:bCs/>
          <w:color w:val="2B2D42"/>
          <w:sz w:val="24"/>
          <w:szCs w:val="24"/>
        </w:rPr>
        <w:t xml:space="preserve">The Security Alert Ignored</w:t>
      </w:r>
    </w:p>
    <w:p>
      <w:pPr>
        <w:spacing w:after="80" w:before="80" w:line="276" w:lineRule="auto"/>
        <w:ind/>
      </w:pPr>
      <w:r>
        <w:rPr>
          <w:rFonts w:ascii="Arial" w:cs="Arial" w:eastAsia="Arial" w:hAnsi="Arial"/>
          <w:b w:val="false"/>
          <w:bCs w:val="false"/>
          <w:color w:val="2B2D42"/>
          <w:sz w:val="22"/>
          <w:szCs w:val="22"/>
        </w:rPr>
        <w:t xml:space="preserve">On 20 February 2026, the complainant warned van der Walt that emails were vanishing from his inbox, that his digital integrity may have been compromised, and that he needed acknowledgment to “help secure the paper trail.” Van der Walt responded: “I confirm receipt.” He did not address the security alert. He did not advise the complainant on evidence preservation. He did not report the concern to any authority. An attorney who receives credible information that a client’s evidence is being tampered with has a professional duty to act. Van der Walt did nothing.</w:t>
      </w:r>
    </w:p>
    <w:p>
      <w:pPr>
        <w:spacing w:after="60" w:before="60"/>
      </w:pPr>
      <w:r>
        <w:t xml:space="preserve"/>
      </w:r>
    </w:p>
    <w:p>
      <w:pPr>
        <w:pBdr>
          <w:bottom w:val="single" w:color="B01010" w:sz="6" w:space="2"/>
        </w:pBdr>
        <w:spacing w:after="100" w:before="280"/>
      </w:pPr>
      <w:r>
        <w:rPr>
          <w:rFonts w:ascii="Arial" w:cs="Arial" w:eastAsia="Arial" w:hAnsi="Arial"/>
          <w:b/>
          <w:bCs/>
          <w:color w:val="B01010"/>
          <w:sz w:val="28"/>
          <w:szCs w:val="28"/>
        </w:rPr>
        <w:t xml:space="preserve">11.2  TWBH’s Rubber-Stamp Rejection</w:t>
      </w:r>
    </w:p>
    <w:p>
      <w:pPr>
        <w:spacing w:after="80" w:before="80" w:line="276" w:lineRule="auto"/>
        <w:ind/>
      </w:pPr>
      <w:r>
        <w:rPr>
          <w:rFonts w:ascii="Arial" w:cs="Arial" w:eastAsia="Arial" w:hAnsi="Arial"/>
          <w:b w:val="false"/>
          <w:bCs w:val="false"/>
          <w:color w:val="2B2D42"/>
          <w:sz w:val="22"/>
          <w:szCs w:val="22"/>
        </w:rPr>
        <w:t xml:space="preserve">After receiving the complainant’s detailed 4-page rebuttal of 2 March 2026 — in which he identified each legal error in van der Walt’s opinion, cited BCEA Section 34(2), quoted Section 9 of the PDA, and offered to supply the missing evidence — TWBH did not reconsider. It did not ask van der Walt to respond to the rebuttal. It did not conduct an independent review. It sent a rejection email stating the complainant “did not meet the eligibility criteria.” The organisation whose mandate was to support him at the moment of his greatest need simply said no, without engaging with his detailed and legally accurate corrections.</w:t>
      </w:r>
    </w:p>
    <w:p>
      <w:pPr>
        <w:spacing w:after="80" w:before="80" w:line="276" w:lineRule="auto"/>
        <w:ind/>
      </w:pPr>
      <w:r>
        <w:rPr>
          <w:rFonts w:ascii="Arial" w:cs="Arial" w:eastAsia="Arial" w:hAnsi="Arial"/>
          <w:b w:val="false"/>
          <w:bCs w:val="false"/>
          <w:color w:val="2B2D42"/>
          <w:sz w:val="22"/>
          <w:szCs w:val="22"/>
        </w:rPr>
        <w:t xml:space="preserve">The consequence: a destitute, homeless, mentally distressed whistleblower who had made protected disclosures about a systemic clinical risk affecting 1.9 million government employees was left to file his Labour Court application alone, without legal representation, without financial support, and without the backing of the only organisation in South Africa specifically created to help people in his exact situation. This is not support. It is abandonment.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single" w:color="B01010" w:sz="24"/>
              <w:bottom w:val="single" w:color="B01010" w:sz="12"/>
              <w:right w:val="single" w:color="CCCCCC" w:sz="4"/>
            </w:tcBorders>
            <w:shd w:fill="FFF0F0" w:val="clear"/>
            <w:tcMar>
              <w:top w:type="dxa" w:w="160"/>
              <w:left w:type="dxa" w:w="240"/>
              <w:bottom w:type="dxa" w:w="160"/>
              <w:right w:type="dxa" w:w="240"/>
            </w:tcMar>
          </w:tcPr>
          <w:p>
            <w:pPr>
              <w:spacing w:after="60" w:before="0"/>
            </w:pPr>
            <w:r>
              <w:rPr>
                <w:rFonts w:ascii="Arial" w:cs="Arial" w:eastAsia="Arial" w:hAnsi="Arial"/>
                <w:b/>
                <w:bCs/>
                <w:color w:val="B01010"/>
                <w:sz w:val="20"/>
                <w:szCs w:val="20"/>
              </w:rPr>
              <w:t xml:space="preserve">FORENSIC CONCLUSION — TWBH</w:t>
            </w:r>
          </w:p>
          <w:p>
            <w:pPr>
              <w:spacing w:after="0" w:before="0"/>
            </w:pPr>
            <w:r>
              <w:rPr>
                <w:rFonts w:ascii="Arial" w:cs="Arial" w:eastAsia="Arial" w:hAnsi="Arial"/>
                <w:color w:val="2B2D42"/>
                <w:sz w:val="21"/>
                <w:szCs w:val="21"/>
              </w:rPr>
              <w:t xml:space="preserve">The Whistleblower House was given a documented pattern of retaliation, a recorded admission of retaliatory intent, a Root Cause Analysis confirming a clinical risk, and a destitute nurse who had already been through every regulator. It was met with a superficial attorney’s opinion that misstated the law and — shockingly — suggested that regulatory complaints might be bad faith. When the complainant identified the errors in detail, TWBH did not re-evaluate. It rejected him. Parliament must summon TWBH to explain its quality control processes and whether its mandate is being fulfilled.</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TWELVE: STATUS OF PARALLEL PROCEEDINGS — CURRENT AS AT JUNE 2026</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The following proceedings are active as at the date of this submission. All are referenced in the evidentiary bundle. The delays and obstructions documented are a function of the institutional failures set out in this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960"/>
        <w:gridCol w:w="2900"/>
      </w:tblGrid>
      <w:tr>
        <w:tc>
          <w:tcPr>
            <w:tcW w:type="dxa" w:w="150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Case No.</w:t>
            </w:r>
          </w:p>
        </w:tc>
        <w:tc>
          <w:tcPr>
            <w:tcW w:type="dxa" w:w="200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Court / Body</w:t>
            </w:r>
          </w:p>
        </w:tc>
        <w:tc>
          <w:tcPr>
            <w:tcW w:type="dxa" w:w="296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Nature &amp; Current Status</w:t>
            </w:r>
          </w:p>
        </w:tc>
        <w:tc>
          <w:tcPr>
            <w:tcW w:type="dxa" w:w="290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Delay / Obstruction</w:t>
            </w:r>
          </w:p>
        </w:tc>
      </w:tr>
      <w:tr>
        <w:tc>
          <w:tcPr>
            <w:tcW w:type="dxa" w:w="15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2026-086906</w:t>
            </w:r>
          </w:p>
        </w:tc>
        <w:tc>
          <w:tcPr>
            <w:tcW w:type="dxa" w:w="20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Western Cape High Court</w:t>
            </w:r>
          </w:p>
        </w:tc>
        <w:tc>
          <w:tcPr>
            <w:tcW w:type="dxa" w:w="29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Interim interdict (gag order) obtained ex parte. Rule nisi extended to 1 March 2027. Final hearing pending on semi-urgent roll. Whistleblower seeks rescission and counter-declaratory relief.</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Obtained by concealment of answering affidavit (fraud on the court). Whistleblower silenced for 11 months without final hearing.</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2026-066952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Western Cape High Court</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Section 162 director delinquency application. Struck from roll with costs (25 March 2026). Rescission application pending — requires audio recording of hearing.</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Registrar has not provided audio recording for 2+ months. Inlexso transcription service had no backup system during bereavement leave.</w:t>
            </w:r>
          </w:p>
        </w:tc>
      </w:tr>
      <w:tr>
        <w:tc>
          <w:tcPr>
            <w:tcW w:type="dxa" w:w="15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2026-077546</w:t>
            </w:r>
          </w:p>
        </w:tc>
        <w:tc>
          <w:tcPr>
            <w:tcW w:type="dxa" w:w="20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Labour Court (Cape Town)</w:t>
            </w:r>
          </w:p>
        </w:tc>
        <w:tc>
          <w:tcPr>
            <w:tcW w:type="dxa" w:w="29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BCEA s77A — unlawful salary deduction (R14,811.77). Default judgment application filed 30 April 2026 — uncontested, liquidated, certain.</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Unallocated for 6+ weeks. Registrar ignored follow-up emails. No hearing date provided. Escalation to Judge President produced no result.</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2026-083299</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Labour Court (Cape Town)</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Constructive dismissal / automatically unfair dismissal (PDA retaliation). Statement of Response defective (wrong entity, no verifying affidavit). Replication filed. Unilateral Pre-Trial Minute filed 11 June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Employer filed on behalf of non-cited entity. Proposed non-compliant pre-trial date. ‘Good luck to you then’ response. Settlement-then-silence tactic.</w:t>
            </w:r>
          </w:p>
        </w:tc>
      </w:tr>
      <w:tr>
        <w:tc>
          <w:tcPr>
            <w:tcW w:type="dxa" w:w="15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CAS 705/3/2026</w:t>
            </w:r>
          </w:p>
        </w:tc>
        <w:tc>
          <w:tcPr>
            <w:tcW w:type="dxa" w:w="20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SAPS Woodstock (transferred from Delft)</w:t>
            </w:r>
          </w:p>
        </w:tc>
        <w:tc>
          <w:tcPr>
            <w:tcW w:type="dxa" w:w="29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Criminal case: UIF fraud / false representations. Registered after escalation to Brigadier Naidoo. No investigation conducted.</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No detective assigned. False station commander representation by Delft officer (audio-recorded). Internal complaint closed without addressing misconduct.</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5/02/2026</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B-BBEE Commission</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Fronting complaint (title suppression). Notice of Non-Investigation issued 30 March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Commission refused Section 13K subpoena powers. Closed without obtaining B-BBEE verification certificate.</w:t>
            </w:r>
          </w:p>
        </w:tc>
      </w:tr>
      <w:tr>
        <w:tc>
          <w:tcPr>
            <w:tcW w:type="dxa" w:w="15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1-370127</w:t>
            </w:r>
          </w:p>
        </w:tc>
        <w:tc>
          <w:tcPr>
            <w:tcW w:type="dxa" w:w="20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FSCA</w:t>
            </w:r>
          </w:p>
        </w:tc>
        <w:tc>
          <w:tcPr>
            <w:tcW w:type="dxa" w:w="29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Governance failure / market conduct complaint. Acknowledged by FSCA.</w:t>
            </w:r>
          </w:p>
        </w:tc>
        <w:tc>
          <w:tcPr>
            <w:tcW w:type="dxa" w:w="29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FSCA went silent. No substantive response to any submission, including 19 March 2026 factual update.</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JvS/166792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JSE Issuer Regulation</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Material non-disclosure of litigation and regulatory investigations. Jurisdictional declination 6 March 2026; confirmed 11 May 2026.</w:t>
            </w:r>
          </w:p>
        </w:tc>
        <w:tc>
          <w:tcPr>
            <w:tcW w:type="dxa" w:w="2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JSE did not require corrective SENS announcement. False Annual Report stands uncorrected.</w:t>
            </w:r>
          </w:p>
        </w:tc>
      </w:tr>
    </w:tbl>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Summary of delays as at June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20"/>
                <w:szCs w:val="20"/>
              </w:rPr>
              <w:t xml:space="preserve">Proceeding</w:t>
            </w:r>
          </w:p>
        </w:tc>
        <w:tc>
          <w:tcPr>
            <w:tcW w:type="dxa" w:w="368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20"/>
                <w:szCs w:val="20"/>
              </w:rPr>
              <w:t xml:space="preserve">Days Delayed</w:t>
            </w:r>
          </w:p>
        </w:tc>
        <w:tc>
          <w:tcPr>
            <w:tcW w:type="dxa" w:w="368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20"/>
                <w:szCs w:val="20"/>
              </w:rPr>
              <w:t xml:space="preserve">Established Cause</w:t>
            </w:r>
          </w:p>
        </w:tc>
      </w:tr>
      <w:tr>
        <w:tc>
          <w:tcPr>
            <w:tcW w:type="dxa" w:w="200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Labour Court default judgment (2026-077546)</w:t>
            </w:r>
          </w:p>
        </w:tc>
        <w:tc>
          <w:tcPr>
            <w:tcW w:type="dxa" w:w="36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45+ days</w:t>
            </w:r>
          </w:p>
        </w:tc>
        <w:tc>
          <w:tcPr>
            <w:tcW w:type="dxa" w:w="36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Registrar unresponsive; no hearing date allocated; Registrar ignores correspondence.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Labour Court pre-trial conference (2026-083299)</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14+ days (statutory window expired)</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Employer proposed non-compliant date; ‘Good luck to you then’; settlement-then-silence.</w:t>
            </w:r>
          </w:p>
        </w:tc>
      </w:tr>
      <w:tr>
        <w:tc>
          <w:tcPr>
            <w:tcW w:type="dxa" w:w="200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High Court final hearing (2026-086906)</w:t>
            </w:r>
          </w:p>
        </w:tc>
        <w:tc>
          <w:tcPr>
            <w:tcW w:type="dxa" w:w="36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11 months (until March 2027)</w:t>
            </w:r>
          </w:p>
        </w:tc>
        <w:tc>
          <w:tcPr>
            <w:tcW w:type="dxa" w:w="36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Court accepted employer’s request for semi-urgent roll; no consideration of ongoing harm to destitute whistleblower.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SAPS criminal investigation (CAS 705/3/2026)</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3+ months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No detective assigned; internal Delft complaint closed without investigating false station commander.</w:t>
            </w:r>
          </w:p>
        </w:tc>
      </w:tr>
      <w:tr>
        <w:tc>
          <w:tcPr>
            <w:tcW w:type="dxa" w:w="200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High Court audio recording (for rescission of 2026-066952)</w:t>
            </w:r>
          </w:p>
        </w:tc>
        <w:tc>
          <w:tcPr>
            <w:tcW w:type="dxa" w:w="36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2+ months</w:t>
            </w:r>
          </w:p>
        </w:tc>
        <w:tc>
          <w:tcPr>
            <w:tcW w:type="dxa" w:w="36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Registrar non-responsive; Inlexso had no backup during bereavement leave.</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THIRTEEN: RECOMMENDATIONS TO PARLIAMENT</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13.1  Institutional Accountability Hearings — Immediate</w:t>
      </w:r>
    </w:p>
    <w:p>
      <w:pPr>
        <w:spacing w:after="80" w:before="80" w:line="276" w:lineRule="auto"/>
        <w:ind/>
      </w:pPr>
      <w:r>
        <w:rPr>
          <w:rFonts w:ascii="Arial" w:cs="Arial" w:eastAsia="Arial" w:hAnsi="Arial"/>
          <w:b w:val="false"/>
          <w:bCs w:val="false"/>
          <w:color w:val="2B2D42"/>
          <w:sz w:val="22"/>
          <w:szCs w:val="22"/>
        </w:rPr>
        <w:t xml:space="preserve">Parliament must convene accountability hearings before the relevant Portfolio Committees within 30 days of receiving this report. The following officials must be summoned under Section 56 of the Constitution.</w:t>
      </w:r>
    </w:p>
    <w:p>
      <w:pPr>
        <w:spacing w:after="60" w:before="60"/>
      </w:pPr>
      <w:r>
        <w:t xml:space="preserve"/>
      </w:r>
    </w:p>
    <w:p>
      <w:pPr>
        <w:spacing w:after="80" w:before="80" w:line="276" w:lineRule="auto"/>
        <w:ind/>
      </w:pPr>
      <w:r>
        <w:rPr>
          <w:rFonts w:ascii="Arial" w:cs="Arial" w:eastAsia="Arial" w:hAnsi="Arial"/>
          <w:b w:val="false"/>
          <w:bCs w:val="false"/>
          <w:color w:val="2B2D42"/>
          <w:sz w:val="22"/>
          <w:szCs w:val="22"/>
        </w:rPr>
        <w:t xml:space="preserve">The CMS Registrar must explain: why the Gexus-DMS integration gap was not investigated under MSA Sections 7, 44, 47, and 58; why CMS exercised jurisdiction over the Discovery Health system error but not the Medscheme/GEMS error; and why the 7 May 2026 demand was made without acknowledging the High Court order.</w:t>
      </w:r>
    </w:p>
    <w:p>
      <w:pPr>
        <w:spacing w:after="80" w:before="80" w:line="276" w:lineRule="auto"/>
        <w:ind/>
      </w:pPr>
      <w:r>
        <w:rPr>
          <w:rFonts w:ascii="Arial" w:cs="Arial" w:eastAsia="Arial" w:hAnsi="Arial"/>
          <w:b w:val="false"/>
          <w:bCs w:val="false"/>
          <w:color w:val="2B2D42"/>
          <w:sz w:val="22"/>
          <w:szCs w:val="22"/>
        </w:rPr>
        <w:t xml:space="preserve">The SANC Registrar must explain: why complaint SANC/MEDSCHEME/MATTHEE/20260105 was never acknowledged or investigated; and why the complainant was deregistered for non-payment of fees directly caused by the employer’s unlawful deduction.</w:t>
      </w:r>
    </w:p>
    <w:p>
      <w:pPr>
        <w:spacing w:after="80" w:before="80" w:line="276" w:lineRule="auto"/>
        <w:ind/>
      </w:pPr>
      <w:r>
        <w:rPr>
          <w:rFonts w:ascii="Arial" w:cs="Arial" w:eastAsia="Arial" w:hAnsi="Arial"/>
          <w:b w:val="false"/>
          <w:bCs w:val="false"/>
          <w:color w:val="2B2D42"/>
          <w:sz w:val="22"/>
          <w:szCs w:val="22"/>
        </w:rPr>
        <w:t xml:space="preserve">The HPCSA Chairperson must answer the ethical question posed on 14 April 2026: may a registered health professional refuse an employer’s instruction based on verified flawed forensic data when patient safety is at stake?</w:t>
      </w:r>
    </w:p>
    <w:p>
      <w:pPr>
        <w:spacing w:after="80" w:before="80" w:line="276" w:lineRule="auto"/>
        <w:ind/>
      </w:pPr>
      <w:r>
        <w:rPr>
          <w:rFonts w:ascii="Arial" w:cs="Arial" w:eastAsia="Arial" w:hAnsi="Arial"/>
          <w:b w:val="false"/>
          <w:bCs w:val="false"/>
          <w:color w:val="2B2D42"/>
          <w:sz w:val="22"/>
          <w:szCs w:val="22"/>
        </w:rPr>
        <w:t xml:space="preserve">The SAPC Chairperson must explain: why the Professional Conduct Committee declined jurisdiction over a complaint against a Responsible Pharmacist for a methodologically deficient analysis that closed a patient safety investigation.</w:t>
      </w:r>
    </w:p>
    <w:p>
      <w:pPr>
        <w:spacing w:after="80" w:before="80" w:line="276" w:lineRule="auto"/>
        <w:ind/>
      </w:pPr>
      <w:r>
        <w:rPr>
          <w:rFonts w:ascii="Arial" w:cs="Arial" w:eastAsia="Arial" w:hAnsi="Arial"/>
          <w:b w:val="false"/>
          <w:bCs w:val="false"/>
          <w:color w:val="2B2D42"/>
          <w:sz w:val="22"/>
          <w:szCs w:val="22"/>
        </w:rPr>
        <w:t xml:space="preserve">The DEL Director-General must explain: why Principal Inspector Kutuka closed the UI-19 investigation on 15 April 2026 with a jurisdictional error; why no compliance order has been issued; and why UIF contributions for June 2025 have not been remitted three months after formal notification.</w:t>
      </w:r>
    </w:p>
    <w:p>
      <w:pPr>
        <w:spacing w:after="80" w:before="80" w:line="276" w:lineRule="auto"/>
        <w:ind/>
      </w:pPr>
      <w:r>
        <w:rPr>
          <w:rFonts w:ascii="Arial" w:cs="Arial" w:eastAsia="Arial" w:hAnsi="Arial"/>
          <w:b w:val="false"/>
          <w:bCs w:val="false"/>
          <w:color w:val="2B2D42"/>
          <w:sz w:val="22"/>
          <w:szCs w:val="22"/>
        </w:rPr>
        <w:t xml:space="preserve">The CCMA Director and PSC Landu must explain: why Commissioner Ngwane was not disciplined for prejudgment, failure to assist, and failure to apply BCEA Section 34; and why the internal complaint produced a whitewash rather than an investigation.</w:t>
      </w:r>
    </w:p>
    <w:p>
      <w:pPr>
        <w:spacing w:after="80" w:before="80" w:line="276" w:lineRule="auto"/>
        <w:ind/>
      </w:pPr>
      <w:r>
        <w:rPr>
          <w:rFonts w:ascii="Arial" w:cs="Arial" w:eastAsia="Arial" w:hAnsi="Arial"/>
          <w:b w:val="false"/>
          <w:bCs w:val="false"/>
          <w:color w:val="2B2D42"/>
          <w:sz w:val="22"/>
          <w:szCs w:val="22"/>
        </w:rPr>
        <w:t xml:space="preserve">The B-BBEE Commissioner must explain: why Case 5/02/2026 was declined with reasons that ignore the evidence and misstate the law; and why Section 13K subpoena powers were refused without legal basis.</w:t>
      </w:r>
    </w:p>
    <w:p>
      <w:pPr>
        <w:spacing w:after="80" w:before="80" w:line="276" w:lineRule="auto"/>
        <w:ind/>
      </w:pPr>
      <w:r>
        <w:rPr>
          <w:rFonts w:ascii="Arial" w:cs="Arial" w:eastAsia="Arial" w:hAnsi="Arial"/>
          <w:b w:val="false"/>
          <w:bCs w:val="false"/>
          <w:color w:val="2B2D42"/>
          <w:sz w:val="22"/>
          <w:szCs w:val="22"/>
        </w:rPr>
        <w:t xml:space="preserve">The SAHRC Chairperson must explain: why a Chapter 9 institution acknowledged seriousness and went silent; and whether it considers its redirection to the CCMA to have fulfilled its mandate over housing, water, and dignity violations.</w:t>
      </w:r>
    </w:p>
    <w:p>
      <w:pPr>
        <w:spacing w:after="80" w:before="80" w:line="276" w:lineRule="auto"/>
        <w:ind/>
      </w:pPr>
      <w:r>
        <w:rPr>
          <w:rFonts w:ascii="Arial" w:cs="Arial" w:eastAsia="Arial" w:hAnsi="Arial"/>
          <w:b w:val="false"/>
          <w:bCs w:val="false"/>
          <w:color w:val="2B2D42"/>
          <w:sz w:val="22"/>
          <w:szCs w:val="22"/>
        </w:rPr>
        <w:t xml:space="preserve">The JSE Head of Issuer Regulation must explain: why AfroCentric was not required to issue a corrective SENS announcement; and why the B-BBEE Commission investigation (potential R580 million fine) was not deemed price-sensitive information.</w:t>
      </w:r>
    </w:p>
    <w:p>
      <w:pPr>
        <w:spacing w:after="80" w:before="80" w:line="276" w:lineRule="auto"/>
        <w:ind/>
      </w:pPr>
      <w:r>
        <w:rPr>
          <w:rFonts w:ascii="Arial" w:cs="Arial" w:eastAsia="Arial" w:hAnsi="Arial"/>
          <w:b w:val="false"/>
          <w:bCs w:val="false"/>
          <w:color w:val="2B2D42"/>
          <w:sz w:val="22"/>
          <w:szCs w:val="22"/>
        </w:rPr>
        <w:t xml:space="preserve">The SAPS National Commissioner must explain: why CAS 705/3/2026 remains uninvestigated; what action has been taken against the Delft officer who falsely claimed station commander rank; and why the audio recording has not been retrieved.</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13.2  Legislative Reforms — NHI Governance Architecture</w:t>
      </w:r>
    </w:p>
    <w:p>
      <w:pPr>
        <w:spacing w:after="80" w:before="80" w:line="276" w:lineRule="auto"/>
        <w:ind/>
      </w:pPr>
      <w:r>
        <w:rPr>
          <w:rFonts w:ascii="Arial" w:cs="Arial" w:eastAsia="Arial" w:hAnsi="Arial"/>
          <w:b w:val="false"/>
          <w:bCs w:val="false"/>
          <w:color w:val="2B2D42"/>
          <w:sz w:val="22"/>
          <w:szCs w:val="22"/>
        </w:rPr>
        <w:t xml:space="preserve">Parliament must urgently amend the NHI Act or pass complementary legislation to address the three structural gaps exposed by this case, before the NHI Fund becomes operational.</w:t>
      </w:r>
    </w:p>
    <w:p>
      <w:pPr>
        <w:spacing w:after="80" w:before="80" w:line="276" w:lineRule="auto"/>
        <w:ind/>
      </w:pPr>
      <w:r>
        <w:rPr>
          <w:rFonts w:ascii="Arial" w:cs="Arial" w:eastAsia="Arial" w:hAnsi="Arial"/>
          <w:b w:val="false"/>
          <w:bCs w:val="false"/>
          <w:color w:val="2B2D42"/>
          <w:sz w:val="22"/>
          <w:szCs w:val="22"/>
        </w:rPr>
        <w:t xml:space="preserve">First, Section 39 (accreditation) must be amended to require mandatory Forensic Governance Impact Assessments before each phase of accreditation rollout, analysing fraud vectors, bottleneck risks, and monitoring protocols. The PFMA’s risk management requirements already provide the legislative foundation.</w:t>
      </w:r>
    </w:p>
    <w:p>
      <w:pPr>
        <w:spacing w:after="80" w:before="80" w:line="276" w:lineRule="auto"/>
        <w:ind/>
      </w:pPr>
      <w:r>
        <w:rPr>
          <w:rFonts w:ascii="Arial" w:cs="Arial" w:eastAsia="Arial" w:hAnsi="Arial"/>
          <w:b w:val="false"/>
          <w:bCs w:val="false"/>
          <w:color w:val="2B2D42"/>
          <w:sz w:val="22"/>
          <w:szCs w:val="22"/>
        </w:rPr>
        <w:t xml:space="preserve">Second, Section 40 (information architecture) must be amended to require an independent conformity assessment before deployment of the information platform, transparency obligations for automated determinations, human oversight mechanisms, and annual algorithmic audits conducted by a party independent of both the Fund and the technology provider — what this report designates the AI Audit Protocol.</w:t>
      </w:r>
    </w:p>
    <w:p>
      <w:pPr>
        <w:spacing w:after="80" w:before="80" w:line="276" w:lineRule="auto"/>
        <w:ind/>
      </w:pPr>
      <w:r>
        <w:rPr>
          <w:rFonts w:ascii="Arial" w:cs="Arial" w:eastAsia="Arial" w:hAnsi="Arial"/>
          <w:b w:val="false"/>
          <w:bCs w:val="false"/>
          <w:color w:val="2B2D42"/>
          <w:sz w:val="22"/>
          <w:szCs w:val="22"/>
        </w:rPr>
        <w:t xml:space="preserve">Third, Section 20(2)(g) (investigation unit) must be amended to specify professional competency standards drawing on ACFE, SAICA forensic practice standards, and clinical governance requirements; independence safeguards including a direct reporting line to the Board’s audit and risk committee bypassing executive management; and defined escalation protocols to the SIU, Hawks, and NPA.</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13.3  Whistleblower Protection — PDA Amendment</w:t>
      </w:r>
    </w:p>
    <w:p>
      <w:pPr>
        <w:spacing w:after="80" w:before="80" w:line="276" w:lineRule="auto"/>
        <w:ind/>
      </w:pPr>
      <w:r>
        <w:rPr>
          <w:rFonts w:ascii="Arial" w:cs="Arial" w:eastAsia="Arial" w:hAnsi="Arial"/>
          <w:b w:val="false"/>
          <w:bCs w:val="false"/>
          <w:color w:val="2B2D42"/>
          <w:sz w:val="22"/>
          <w:szCs w:val="22"/>
        </w:rPr>
        <w:t xml:space="preserve">The Protected Disclosures Act must be amended to provide three reforms that the whistleblower’s case proves are urgently necessary. First, a right to interim hardship relief on a prima facie case of occupational detriment — because a whistleblower should not have to become destitute and homeless while awaiting a court to hear the merits. Second, a single whistleblower protection authority to receive disclosures, monitor regulatory responses, and apply for urgent relief on behalf of whistleblowers. Third, criminal penalties for regulatory bodies that act in bad faith or deliberately delay investigations into protected disclosures.</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13.4  Referrals for Prosecution and Professional Discipline</w:t>
      </w:r>
    </w:p>
    <w:p>
      <w:pPr>
        <w:spacing w:after="80" w:before="80" w:line="276" w:lineRule="auto"/>
        <w:ind/>
      </w:pPr>
      <w:r>
        <w:rPr>
          <w:rFonts w:ascii="Arial" w:cs="Arial" w:eastAsia="Arial" w:hAnsi="Arial"/>
          <w:b w:val="false"/>
          <w:bCs w:val="false"/>
          <w:color w:val="2B2D42"/>
          <w:sz w:val="22"/>
          <w:szCs w:val="22"/>
        </w:rPr>
        <w:t xml:space="preserve">Parliament must refer the following matters to the appropriate bodies without delay. The conduct of Deneys Reitz Inc. (Jason Whyte and Frances Barker) must be referred to the Legal Practice Council for: threatening a citizen with contempt for petitioning Parliament (a constitutional right); concealing the answering affidavit from the court (fraud on the court); and bad faith settlement-then-silence tactics. The perjury matrix — Vijay Makenjee’s sworn denial of awareness of Case 2026-077546 in the Labour Court, contradicted by the Group CEO’s sworn acknowledgment in the High Court — must be referred to the NPA. Xolile Manyati’s sworn affidavit characterising clinically diagnosed PTSD as a “cynical excuse” in the face of a specialist psychiatrist’s letter must be investigated for potential perjury. The Delft Police Station officer must be referred to IPID for investigation.</w:t>
      </w:r>
    </w:p>
    <w:p>
      <w:pPr>
        <w:spacing w:after="80" w:before="80"/>
      </w:pPr>
      <w:r>
        <w:t xml:space="preserve"/>
      </w:r>
    </w:p>
    <w:p>
      <w:pPr>
        <w:pBdr>
          <w:bottom w:val="single" w:color="B01010" w:sz="6" w:space="2"/>
        </w:pBdr>
        <w:spacing w:after="100" w:before="280"/>
      </w:pPr>
      <w:r>
        <w:rPr>
          <w:rFonts w:ascii="Arial" w:cs="Arial" w:eastAsia="Arial" w:hAnsi="Arial"/>
          <w:b/>
          <w:bCs/>
          <w:color w:val="B01010"/>
          <w:sz w:val="28"/>
          <w:szCs w:val="28"/>
        </w:rPr>
        <w:t xml:space="preserve">13.5  Judicial Oversight</w:t>
      </w:r>
    </w:p>
    <w:p>
      <w:pPr>
        <w:spacing w:after="80" w:before="80" w:line="276" w:lineRule="auto"/>
        <w:ind/>
      </w:pPr>
      <w:r>
        <w:rPr>
          <w:rFonts w:ascii="Arial" w:cs="Arial" w:eastAsia="Arial" w:hAnsi="Arial"/>
          <w:b w:val="false"/>
          <w:bCs w:val="false"/>
          <w:color w:val="2B2D42"/>
          <w:sz w:val="22"/>
          <w:szCs w:val="22"/>
        </w:rPr>
        <w:t xml:space="preserve">Parliament must request the Judge President of the Western Cape High Court to investigate: why the whistleblower’s answering affidavit was not placed before Acting Justice Mphego on 16 April 2026; and whether the extension of the rule nisi to 1 March 2027, without a final hearing and without consideration of the ongoing harm to a destitute whistleblower, constitutes a violation of Section 34 of the Constitution. Parliament must request the Judge President of the Labour Court to investigate: the portal obstruction and the “good day you put date” rejection; the Registrar’s failure to respond to correspondence; and the six-week delay in processing an uncontested default judgment. Parliament must request the Office of the Chief Justice to examine structural barriers to court access facing destitute, self-represented litigants.</w:t>
      </w:r>
    </w:p>
    <w:p>
      <w:r>
        <w:br w:type="page"/>
      </w:r>
    </w:p>
    <w:p>
      <w:pPr>
        <w:shd w:fill="0D1B2A" w:val="clear"/>
        <w:spacing w:after="200" w:before="400"/>
        <w:ind w:left="200" w:right="200"/>
      </w:pPr>
      <w:r>
        <w:rPr>
          <w:rFonts w:ascii="Arial" w:cs="Arial" w:eastAsia="Arial" w:hAnsi="Arial"/>
          <w:b/>
          <w:bCs/>
          <w:color w:val="FFFFFF"/>
          <w:sz w:val="34"/>
          <w:szCs w:val="34"/>
        </w:rPr>
        <w:t xml:space="preserve">PART FOURTEEN: CONCLUSION — WHY PARLIAMENT CANNOT WAIT ANOTHER DAY</w:t>
      </w:r>
    </w:p>
    <w:p>
      <w:pPr>
        <w:spacing w:after="80" w:before="80"/>
      </w:pPr>
      <w:r>
        <w:t xml:space="preserve"/>
      </w:r>
    </w:p>
    <w:p>
      <w:pPr>
        <w:spacing w:after="80" w:before="80" w:line="276" w:lineRule="auto"/>
        <w:ind/>
      </w:pPr>
      <w:r>
        <w:rPr>
          <w:rFonts w:ascii="Arial" w:cs="Arial" w:eastAsia="Arial" w:hAnsi="Arial"/>
          <w:b/>
          <w:bCs/>
          <w:color w:val="0D1B2A"/>
          <w:sz w:val="22"/>
          <w:szCs w:val="22"/>
        </w:rPr>
        <w:t xml:space="preserve">I.  THE THREAD THAT CONNECTS EVERYTHING</w:t>
      </w:r>
    </w:p>
    <w:p>
      <w:pPr>
        <w:pBdr>
          <w:bottom w:val="single" w:color="B01010" w:sz="10" w:space="1"/>
        </w:pBdr>
        <w:spacing w:after="160" w:before="160"/>
      </w:pPr>
      <w:r>
        <w:t xml:space="preserve"/>
      </w:r>
    </w:p>
    <w:p>
      <w:pPr>
        <w:spacing w:after="80" w:before="80" w:line="276" w:lineRule="auto"/>
        <w:ind/>
      </w:pPr>
      <w:r>
        <w:rPr>
          <w:rFonts w:ascii="Arial" w:cs="Arial" w:eastAsia="Arial" w:hAnsi="Arial"/>
          <w:b w:val="false"/>
          <w:bCs w:val="false"/>
          <w:color w:val="2B2D42"/>
          <w:sz w:val="22"/>
          <w:szCs w:val="22"/>
        </w:rPr>
        <w:t xml:space="preserve">This report has placed before Parliament the documented failure of fifteen statutory, regulatory, and judicial bodies to protect a single whistleblower who did everything the law asked of him. The Council for Medical Schemes declined jurisdiction twice. The HPCSA went silent. The SANC ignored a formal misconduct complaint and then deregistered the complainant because he could not pay his annual fee — a fee the employer’s unlawful deduction made it impossible for him to pay. The SAPC declined jurisdiction after a meeting at which it showed hesitation. The DEL closed its file at 23:31 in one email citing a jurisdictional error. The B-BBEE Commission declined to use its subpoena powers. The SAHRC acknowledged seriousness and went silent. The SAPS refused to open a criminal case, and a police officer falsely claimed to be the station commander. The CCMA commissioner declared the PDA irrelevant before hearing evidence and told the complainant to “Google it.” The JSE accepted the employer’s narrow price-sensitivity test. The FSCA said nothing. The High Court granted a gag order on a concealed answering affidavit and extended it for nearly a year. The Labour Court rejected an urgent application because of a date formatting issue and delayed an uncontested default judgment for over six weeks.</w:t>
      </w:r>
    </w:p>
    <w:p>
      <w:pPr>
        <w:spacing w:after="80" w:before="80" w:line="276" w:lineRule="auto"/>
        <w:ind/>
      </w:pPr>
      <w:r>
        <w:rPr>
          <w:rFonts w:ascii="Arial" w:cs="Arial" w:eastAsia="Arial" w:hAnsi="Arial"/>
          <w:b w:val="false"/>
          <w:bCs w:val="false"/>
          <w:color w:val="2B2D42"/>
          <w:sz w:val="22"/>
          <w:szCs w:val="22"/>
        </w:rPr>
        <w:t xml:space="preserve">This is not a series of isolated administrative failures. It is a coordinated pattern of regulatory capture, institutional collapse, and judicial obstruction. And it is the definitive proof that South Africa is not ready for the National Health Insurance.</w:t>
      </w:r>
    </w:p>
    <w:p>
      <w:pPr>
        <w:spacing w:after="80" w:before="80"/>
      </w:pPr>
      <w:r>
        <w:t xml:space="preserve"/>
      </w:r>
    </w:p>
    <w:p>
      <w:pPr>
        <w:spacing w:after="80" w:before="80" w:line="276" w:lineRule="auto"/>
        <w:ind/>
      </w:pPr>
      <w:r>
        <w:rPr>
          <w:rFonts w:ascii="Arial" w:cs="Arial" w:eastAsia="Arial" w:hAnsi="Arial"/>
          <w:b/>
          <w:bCs/>
          <w:color w:val="0D1B2A"/>
          <w:sz w:val="22"/>
          <w:szCs w:val="22"/>
        </w:rPr>
        <w:t xml:space="preserve">II.  FIVE CONCLUSIONS — FIVE IMPERATIVES FOR PARLIAMENT</w:t>
      </w:r>
    </w:p>
    <w:p>
      <w:pPr>
        <w:pBdr>
          <w:bottom w:val="single" w:color="B01010" w:sz="10" w:space="1"/>
        </w:pBdr>
        <w:spacing w:after="160" w:before="160"/>
      </w:pPr>
      <w:r>
        <w:t xml:space="preserve"/>
      </w:r>
    </w:p>
    <w:p>
      <w:pPr>
        <w:spacing w:after="60" w:before="60"/>
      </w:pPr>
      <w:r>
        <w:t xml:space="preserve"/>
      </w:r>
    </w:p>
    <w:p>
      <w:pPr>
        <w:spacing w:after="80" w:before="200"/>
      </w:pPr>
      <w:r>
        <w:rPr>
          <w:rFonts w:ascii="Arial" w:cs="Arial" w:eastAsia="Arial" w:hAnsi="Arial"/>
          <w:b/>
          <w:bCs/>
          <w:color w:val="2B2D42"/>
          <w:sz w:val="24"/>
          <w:szCs w:val="24"/>
        </w:rPr>
        <w:t xml:space="preserve">Conclusion 1: Regulatory Capture Is Systemic, Not Coincidental</w:t>
      </w:r>
    </w:p>
    <w:p>
      <w:pPr>
        <w:spacing w:after="80" w:before="80" w:line="276" w:lineRule="auto"/>
        <w:ind/>
      </w:pPr>
      <w:r>
        <w:rPr>
          <w:rFonts w:ascii="Arial" w:cs="Arial" w:eastAsia="Arial" w:hAnsi="Arial"/>
          <w:b w:val="false"/>
          <w:bCs w:val="false"/>
          <w:color w:val="2B2D42"/>
          <w:sz w:val="22"/>
          <w:szCs w:val="22"/>
        </w:rPr>
        <w:t xml:space="preserve">Not a single one of the fifteen institutions approached provided any remedy. The probability that this is accidental is zero. The common thread is Medscheme Holdings, a wholly owned subsidiary of AfroCentric Investment Corporation Limited — a JSE-listed company that administers the Government Employees Medical Scheme on behalf of 1.9 million public servants. Every institution that was approached either declined jurisdiction, went silent, or actively obstructed the complainant. The CMS, which will regulate NHI accreditation, declined twice. The SAHRC, which will monitor NHI human rights compliance, went silent. The JSE, which oversees NHI-related corporate governance, looked away. The courts, which will adjudicate NHI disputes, granted a gag order on a concealed affidavit. This is regulatory capture in its most dangerous form: not the capture of a single institution, but of the entire accountability ecosystem.</w:t>
      </w:r>
    </w:p>
    <w:p>
      <w:pPr>
        <w:spacing w:after="60" w:before="60"/>
      </w:pPr>
      <w:r>
        <w:t xml:space="preserve"/>
      </w:r>
    </w:p>
    <w:p>
      <w:pPr>
        <w:spacing w:after="80" w:before="200"/>
      </w:pPr>
      <w:r>
        <w:rPr>
          <w:rFonts w:ascii="Arial" w:cs="Arial" w:eastAsia="Arial" w:hAnsi="Arial"/>
          <w:b/>
          <w:bCs/>
          <w:color w:val="2B2D42"/>
          <w:sz w:val="24"/>
          <w:szCs w:val="24"/>
        </w:rPr>
        <w:t xml:space="preserve">Conclusion 2: The NHI Governance Architecture Is Broken Before the NHI Is Operational</w:t>
      </w:r>
    </w:p>
    <w:p>
      <w:pPr>
        <w:spacing w:after="80" w:before="80" w:line="276" w:lineRule="auto"/>
        <w:ind/>
      </w:pPr>
      <w:r>
        <w:rPr>
          <w:rFonts w:ascii="Arial" w:cs="Arial" w:eastAsia="Arial" w:hAnsi="Arial"/>
          <w:b w:val="false"/>
          <w:bCs w:val="false"/>
          <w:color w:val="2B2D42"/>
          <w:sz w:val="22"/>
          <w:szCs w:val="22"/>
        </w:rPr>
        <w:t xml:space="preserve">The NHI Act contains three structural gaps — an accreditation bottleneck with no fraud detection protocol, a one-sentence fraud architecture for a R200 billion system, and an undefined investigation unit with no independence safeguards — that this case proves are already exploited in the current system. The same accreditation dynamic that enabled title suppression-based fronting will enable ghost accreditation under the NHI. The same information architecture that allowed the Gexus-DMS gap to go undetected will allow algorithmic manipulation of the NHI’s claim processing platform. The same undefined investigation unit dynamic that allowed a CRO to suppress a Priority 1 report will allow NHI Fund executives to bury internal fraud reports. Parliament must close these gaps before the Fund becomes operational. Once the money is flowing, it will be too late.</w:t>
      </w:r>
    </w:p>
    <w:p>
      <w:pPr>
        <w:spacing w:after="60" w:before="60"/>
      </w:pPr>
      <w:r>
        <w:t xml:space="preserve"/>
      </w:r>
    </w:p>
    <w:p>
      <w:pPr>
        <w:spacing w:after="80" w:before="200"/>
      </w:pPr>
      <w:r>
        <w:rPr>
          <w:rFonts w:ascii="Arial" w:cs="Arial" w:eastAsia="Arial" w:hAnsi="Arial"/>
          <w:b/>
          <w:bCs/>
          <w:color w:val="2B2D42"/>
          <w:sz w:val="24"/>
          <w:szCs w:val="24"/>
        </w:rPr>
        <w:t xml:space="preserve">Conclusion 3: The Chilling Effect Is Already Real and Must Be Broken Now</w:t>
      </w:r>
    </w:p>
    <w:p>
      <w:pPr>
        <w:spacing w:after="80" w:before="80" w:line="276" w:lineRule="auto"/>
        <w:ind/>
      </w:pPr>
      <w:r>
        <w:rPr>
          <w:rFonts w:ascii="Arial" w:cs="Arial" w:eastAsia="Arial" w:hAnsi="Arial"/>
          <w:b w:val="false"/>
          <w:bCs w:val="false"/>
          <w:color w:val="2B2D42"/>
          <w:sz w:val="22"/>
          <w:szCs w:val="22"/>
        </w:rPr>
        <w:t xml:space="preserve">Every healthcare professional in South Africa now knows, from this case, what happens when you report a systemic risk that affects patients: your salary is cut, your professional registration is lost, your home is taken, your water is disconnected, and every regulator turns away. That chilling effect will be magnified a thousandfold under the NHI, where the financial stakes are immeasurably higher, the legal resources deployed against whistleblowers more formidable, and the regulatory capture more entrenched. Parliament must break this effect — not by passing another law that will not be enforced, but by exercising its constitutional oversight powers, summoning the heads of every failed institution, and holding them publicly accountable.</w:t>
      </w:r>
    </w:p>
    <w:p>
      <w:pPr>
        <w:spacing w:after="60" w:before="60"/>
      </w:pPr>
      <w:r>
        <w:t xml:space="preserve"/>
      </w:r>
    </w:p>
    <w:p>
      <w:pPr>
        <w:spacing w:after="80" w:before="200"/>
      </w:pPr>
      <w:r>
        <w:rPr>
          <w:rFonts w:ascii="Arial" w:cs="Arial" w:eastAsia="Arial" w:hAnsi="Arial"/>
          <w:b/>
          <w:bCs/>
          <w:color w:val="2B2D42"/>
          <w:sz w:val="24"/>
          <w:szCs w:val="24"/>
        </w:rPr>
        <w:t xml:space="preserve">Conclusion 4: The Courts Have Failed and Must Be Called to Account</w:t>
      </w:r>
    </w:p>
    <w:p>
      <w:pPr>
        <w:spacing w:after="80" w:before="80" w:line="276" w:lineRule="auto"/>
        <w:ind/>
      </w:pPr>
      <w:r>
        <w:rPr>
          <w:rFonts w:ascii="Arial" w:cs="Arial" w:eastAsia="Arial" w:hAnsi="Arial"/>
          <w:b w:val="false"/>
          <w:bCs w:val="false"/>
          <w:color w:val="2B2D42"/>
          <w:sz w:val="22"/>
          <w:szCs w:val="22"/>
        </w:rPr>
        <w:t xml:space="preserve">The justice system has not protected this whistleblower. It has suppressed him. A fraud on the court produced a gag order that silences him for nearly a year. A trivial formatting issue rejected his urgent Labour Court application during an eviction crisis. An uncontested default judgment has been delayed for over six weeks. Apparent perjury across two courts has not triggered any consequence. The courts’ independence does not immunise their administrative functions from parliamentary oversight. Parliament has the power — and the duty — to demand that the Judge Presidents investigate these failures and report back.</w:t>
      </w:r>
    </w:p>
    <w:p>
      <w:pPr>
        <w:spacing w:after="60" w:before="60"/>
      </w:pPr>
      <w:r>
        <w:t xml:space="preserve"/>
      </w:r>
    </w:p>
    <w:p>
      <w:pPr>
        <w:spacing w:after="80" w:before="200"/>
      </w:pPr>
      <w:r>
        <w:rPr>
          <w:rFonts w:ascii="Arial" w:cs="Arial" w:eastAsia="Arial" w:hAnsi="Arial"/>
          <w:b/>
          <w:bCs/>
          <w:color w:val="2B2D42"/>
          <w:sz w:val="24"/>
          <w:szCs w:val="24"/>
        </w:rPr>
        <w:t xml:space="preserve">Conclusion 5: Public Funds Are at Risk and Parliament Must Protect Them</w:t>
      </w:r>
    </w:p>
    <w:p>
      <w:pPr>
        <w:spacing w:after="80" w:before="80" w:line="276" w:lineRule="auto"/>
        <w:ind/>
      </w:pPr>
      <w:r>
        <w:rPr>
          <w:rFonts w:ascii="Arial" w:cs="Arial" w:eastAsia="Arial" w:hAnsi="Arial"/>
          <w:b w:val="false"/>
          <w:bCs w:val="false"/>
          <w:color w:val="2B2D42"/>
          <w:sz w:val="22"/>
          <w:szCs w:val="22"/>
        </w:rPr>
        <w:t xml:space="preserve">GEMS member contributions — public money contributed by 1.9 million government employees — may have been affected by the Gexus-DMS integration gap through inflated claims data and incorrect actuarial risk loading. AfroCentric’s Annual Report omitted a potential R580 million B-BBEE fine and active criminal proceedings, misleading investors and the public about the company’s liability position. The Auditor-General has not been informed. SCOPA must act now.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12"/>
              <w:left w:val="single" w:color="B01010" w:sz="24"/>
              <w:bottom w:val="single" w:color="B01010" w:sz="12"/>
              <w:right w:val="single" w:color="CCCCCC" w:sz="4"/>
            </w:tcBorders>
            <w:shd w:fill="FFF0F0" w:val="clear"/>
            <w:tcMar>
              <w:top w:type="dxa" w:w="160"/>
              <w:left w:type="dxa" w:w="240"/>
              <w:bottom w:type="dxa" w:w="160"/>
              <w:right w:type="dxa" w:w="240"/>
            </w:tcMar>
          </w:tcPr>
          <w:p>
            <w:pPr>
              <w:spacing w:after="60" w:before="0"/>
            </w:pPr>
            <w:r>
              <w:rPr>
                <w:rFonts w:ascii="Arial" w:cs="Arial" w:eastAsia="Arial" w:hAnsi="Arial"/>
                <w:b/>
                <w:bCs/>
                <w:color w:val="B01010"/>
                <w:sz w:val="20"/>
                <w:szCs w:val="20"/>
              </w:rPr>
              <w:t xml:space="preserve">THE QUESTION BEFORE PARLIAMENT</w:t>
            </w:r>
          </w:p>
          <w:p>
            <w:pPr>
              <w:spacing w:after="0" w:before="0"/>
            </w:pPr>
            <w:r>
              <w:rPr>
                <w:rFonts w:ascii="Arial" w:cs="Arial" w:eastAsia="Arial" w:hAnsi="Arial"/>
                <w:color w:val="2B2D42"/>
                <w:sz w:val="21"/>
                <w:szCs w:val="21"/>
              </w:rPr>
              <w:t xml:space="preserve">The question before Parliament is not whether this whistleblower was constructively dismissed. The question is whether the institutions that failed him will fail the next whistleblower — and the next — and the next — until the NHI Fund, with its R200 billion annual budget, is built on the bones of people who tried to do the right thing and were destroyed for it. Parliament has before it the evidence. Parliament has the constitutional power to act. The time is now.</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PART FIFTEEN: FINAL PRAYER FOR RELIEF</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The complainant respectfully requests the following six categories of relief from Parliament, each falling within Parliament’s constitutional oversight mandate and none requiring Parliament to adjudicate the private labour dispute.</w:t>
      </w:r>
    </w:p>
    <w:p>
      <w:pPr>
        <w:spacing w:after="60" w:before="60"/>
      </w:pPr>
      <w:r>
        <w:t xml:space="preserve"/>
      </w:r>
    </w:p>
    <w:p>
      <w:pPr>
        <w:spacing w:after="80" w:before="200"/>
      </w:pPr>
      <w:r>
        <w:rPr>
          <w:rFonts w:ascii="Arial" w:cs="Arial" w:eastAsia="Arial" w:hAnsi="Arial"/>
          <w:b/>
          <w:bCs/>
          <w:color w:val="2B2D42"/>
          <w:sz w:val="24"/>
          <w:szCs w:val="24"/>
        </w:rPr>
        <w:t xml:space="preserve">Relief 1: Summons and Accountability Hearings</w:t>
      </w:r>
    </w:p>
    <w:p>
      <w:pPr>
        <w:spacing w:after="80" w:before="80" w:line="276" w:lineRule="auto"/>
        <w:ind/>
      </w:pPr>
      <w:r>
        <w:rPr>
          <w:rFonts w:ascii="Arial" w:cs="Arial" w:eastAsia="Arial" w:hAnsi="Arial"/>
          <w:b w:val="false"/>
          <w:bCs w:val="false"/>
          <w:color w:val="2B2D42"/>
          <w:sz w:val="22"/>
          <w:szCs w:val="22"/>
        </w:rPr>
        <w:t xml:space="preserve">That the relevant Portfolio Committees summon the ten named officials — CMS Registrar, SANC Registrar, HPCSA Chairperson, SAPC Chairperson, DEL Director-General, CCMA Director and PSC Landu, B-BBEE Commissioner, SAHRC Chairperson, JSE Head of Issuer Regulation, and SAPS National Commissioner — to appear before Parliament and account for the institutional failures documented in this report.</w:t>
      </w:r>
    </w:p>
    <w:p>
      <w:pPr>
        <w:spacing w:after="80" w:before="200"/>
      </w:pPr>
      <w:r>
        <w:rPr>
          <w:rFonts w:ascii="Arial" w:cs="Arial" w:eastAsia="Arial" w:hAnsi="Arial"/>
          <w:b/>
          <w:bCs/>
          <w:color w:val="2B2D42"/>
          <w:sz w:val="24"/>
          <w:szCs w:val="24"/>
        </w:rPr>
        <w:t xml:space="preserve">Relief 2: Legislative Reform</w:t>
      </w:r>
    </w:p>
    <w:p>
      <w:pPr>
        <w:spacing w:after="80" w:before="80" w:line="276" w:lineRule="auto"/>
        <w:ind/>
      </w:pPr>
      <w:r>
        <w:rPr>
          <w:rFonts w:ascii="Arial" w:cs="Arial" w:eastAsia="Arial" w:hAnsi="Arial"/>
          <w:b w:val="false"/>
          <w:bCs w:val="false"/>
          <w:color w:val="2B2D42"/>
          <w:sz w:val="22"/>
          <w:szCs w:val="22"/>
        </w:rPr>
        <w:t xml:space="preserve">That Parliament direct that the NHI Act 20 of 2023 be amended to address the three structural governance gaps (Sections 39, 40, and 20(2)(g)); that the Protected Disclosures Act 26 of 2000 be amended to introduce interim hardship relief, a dedicated whistleblower protection authority, and criminal penalties for bad faith regulatory obstruction.</w:t>
      </w:r>
    </w:p>
    <w:p>
      <w:pPr>
        <w:spacing w:after="80" w:before="200"/>
      </w:pPr>
      <w:r>
        <w:rPr>
          <w:rFonts w:ascii="Arial" w:cs="Arial" w:eastAsia="Arial" w:hAnsi="Arial"/>
          <w:b/>
          <w:bCs/>
          <w:color w:val="2B2D42"/>
          <w:sz w:val="24"/>
          <w:szCs w:val="24"/>
        </w:rPr>
        <w:t xml:space="preserve">Relief 3: Referrals for Prosecution and Professional Discipline</w:t>
      </w:r>
    </w:p>
    <w:p>
      <w:pPr>
        <w:spacing w:after="80" w:before="80" w:line="276" w:lineRule="auto"/>
        <w:ind/>
      </w:pPr>
      <w:r>
        <w:rPr>
          <w:rFonts w:ascii="Arial" w:cs="Arial" w:eastAsia="Arial" w:hAnsi="Arial"/>
          <w:b w:val="false"/>
          <w:bCs w:val="false"/>
          <w:color w:val="2B2D42"/>
          <w:sz w:val="22"/>
          <w:szCs w:val="22"/>
        </w:rPr>
        <w:t xml:space="preserve">That the relevant Portfolio Committees refer the perjury matrix to the NPA; refer the conduct of Deneys Reitz Inc. and Vijay Makenjee to the Legal Practice Council; and request IPID to investigate the Delft Police Station officer.</w:t>
      </w:r>
    </w:p>
    <w:p>
      <w:pPr>
        <w:spacing w:after="80" w:before="200"/>
      </w:pPr>
      <w:r>
        <w:rPr>
          <w:rFonts w:ascii="Arial" w:cs="Arial" w:eastAsia="Arial" w:hAnsi="Arial"/>
          <w:b/>
          <w:bCs/>
          <w:color w:val="2B2D42"/>
          <w:sz w:val="24"/>
          <w:szCs w:val="24"/>
        </w:rPr>
        <w:t xml:space="preserve">Relief 4: Judicial Inquiries</w:t>
      </w:r>
    </w:p>
    <w:p>
      <w:pPr>
        <w:spacing w:after="80" w:before="80" w:line="276" w:lineRule="auto"/>
        <w:ind/>
      </w:pPr>
      <w:r>
        <w:rPr>
          <w:rFonts w:ascii="Arial" w:cs="Arial" w:eastAsia="Arial" w:hAnsi="Arial"/>
          <w:b w:val="false"/>
          <w:bCs w:val="false"/>
          <w:color w:val="2B2D42"/>
          <w:sz w:val="22"/>
          <w:szCs w:val="22"/>
        </w:rPr>
        <w:t xml:space="preserve">That Parliament request the Judge Presidents of the Western Cape High Court and the Labour Court to investigate the concealment of the answering affidavit, the extension of the rule nisi, the portal obstruction, and the Registrar’s failures respectively.</w:t>
      </w:r>
    </w:p>
    <w:p>
      <w:pPr>
        <w:spacing w:after="80" w:before="200"/>
      </w:pPr>
      <w:r>
        <w:rPr>
          <w:rFonts w:ascii="Arial" w:cs="Arial" w:eastAsia="Arial" w:hAnsi="Arial"/>
          <w:b/>
          <w:bCs/>
          <w:color w:val="2B2D42"/>
          <w:sz w:val="24"/>
          <w:szCs w:val="24"/>
        </w:rPr>
        <w:t xml:space="preserve">Relief 5: Forensic Audit</w:t>
      </w:r>
    </w:p>
    <w:p>
      <w:pPr>
        <w:spacing w:after="80" w:before="80" w:line="276" w:lineRule="auto"/>
        <w:ind/>
      </w:pPr>
      <w:r>
        <w:rPr>
          <w:rFonts w:ascii="Arial" w:cs="Arial" w:eastAsia="Arial" w:hAnsi="Arial"/>
          <w:b w:val="false"/>
          <w:bCs w:val="false"/>
          <w:color w:val="2B2D42"/>
          <w:sz w:val="22"/>
          <w:szCs w:val="22"/>
        </w:rPr>
        <w:t xml:space="preserve">That SCOPA request the Auditor-General to conduct a forensic audit of Medscheme’s administration of GEMS, specifically the Gexus-DMS integration gap and its actuarial implications for member contributions and premium calculations.</w:t>
      </w:r>
    </w:p>
    <w:p>
      <w:pPr>
        <w:spacing w:after="80" w:before="200"/>
      </w:pPr>
      <w:r>
        <w:rPr>
          <w:rFonts w:ascii="Arial" w:cs="Arial" w:eastAsia="Arial" w:hAnsi="Arial"/>
          <w:b/>
          <w:bCs/>
          <w:color w:val="2B2D42"/>
          <w:sz w:val="24"/>
          <w:szCs w:val="24"/>
        </w:rPr>
        <w:t xml:space="preserve">Relief 6: Protection of This Submission</w:t>
      </w:r>
    </w:p>
    <w:p>
      <w:pPr>
        <w:spacing w:after="80" w:before="80" w:line="276" w:lineRule="auto"/>
        <w:ind/>
      </w:pPr>
      <w:r>
        <w:rPr>
          <w:rFonts w:ascii="Arial" w:cs="Arial" w:eastAsia="Arial" w:hAnsi="Arial"/>
          <w:b w:val="false"/>
          <w:bCs w:val="false"/>
          <w:color w:val="2B2D42"/>
          <w:sz w:val="22"/>
          <w:szCs w:val="22"/>
        </w:rPr>
        <w:t xml:space="preserve">That Parliament place on record that this submission is made under Section 56 of the Constitution and Section 8 of the Protected Disclosures Act 26 of 2000, and that the employer’s interim interdict (Case 2026-086906, obtained by concealment) cannot lawfully restrain a citizen from petitioning Parliament.</w:t>
      </w:r>
    </w:p>
    <w:p>
      <w:pPr>
        <w:spacing w:after="160" w:before="160"/>
      </w:pPr>
      <w:r>
        <w:t xml:space="preserve"/>
      </w:r>
    </w:p>
    <w:p>
      <w:pPr>
        <w:spacing w:after="80" w:before="120"/>
      </w:pPr>
      <w:r>
        <w:rPr>
          <w:rFonts w:ascii="Arial" w:cs="Arial" w:eastAsia="Arial" w:hAnsi="Arial"/>
          <w:color w:val="2B2D42"/>
          <w:sz w:val="22"/>
          <w:szCs w:val="22"/>
        </w:rPr>
        <w:t xml:space="preserve">Signed under oath at Cape Town, this ______ day of June 2026.</w:t>
      </w:r>
    </w:p>
    <w:p>
      <w:pPr>
        <w:spacing w:after="60" w:before="200"/>
      </w:pPr>
      <w:r>
        <w:rPr>
          <w:rFonts w:ascii="Arial" w:cs="Arial" w:eastAsia="Arial" w:hAnsi="Arial"/>
          <w:b/>
          <w:bCs/>
          <w:color w:val="0D1B2A"/>
          <w:sz w:val="26"/>
          <w:szCs w:val="26"/>
        </w:rPr>
        <w:t xml:space="preserve">WILBUR WILLIAM MATTHEE</w:t>
      </w:r>
    </w:p>
    <w:p>
      <w:pPr>
        <w:spacing w:after="40" w:before="0"/>
      </w:pPr>
      <w:r>
        <w:rPr>
          <w:rFonts w:ascii="Arial" w:cs="Arial" w:eastAsia="Arial" w:hAnsi="Arial"/>
          <w:color w:val="4A4A5A"/>
          <w:sz w:val="20"/>
          <w:szCs w:val="20"/>
        </w:rPr>
        <w:t xml:space="preserve">RN | BTech General Nursing | PGDip Health Services Management (NQF 8)  |  Founder — EthicHawks Forensic Governance &amp; Compliance Consultancy</w:t>
      </w:r>
    </w:p>
    <w:p>
      <w:pPr>
        <w:spacing w:after="200" w:before="0"/>
      </w:pPr>
      <w:r>
        <w:rPr>
          <w:rFonts w:ascii="Arial" w:cs="Arial" w:eastAsia="Arial" w:hAnsi="Arial"/>
          <w:color w:val="4A4A5A"/>
          <w:sz w:val="20"/>
          <w:szCs w:val="20"/>
        </w:rPr>
        <w:t xml:space="preserve">CPrAc(SA) — pending  |  info@ethichawks.co.za  |  069 635 1435  |  15 Bellevue Street, Voorbrug, Cape Town, 7001 (homeless — service by email only)</w:t>
      </w:r>
    </w:p>
    <w:p>
      <w:r>
        <w:br w:type="page"/>
      </w:r>
    </w:p>
    <w:p>
      <w:pPr>
        <w:shd w:fill="0D1B2A" w:val="clear"/>
        <w:spacing w:after="200" w:before="400"/>
        <w:ind w:left="200" w:right="200"/>
      </w:pPr>
      <w:r>
        <w:rPr>
          <w:rFonts w:ascii="Arial" w:cs="Arial" w:eastAsia="Arial" w:hAnsi="Arial"/>
          <w:b/>
          <w:bCs/>
          <w:color w:val="FFFFFF"/>
          <w:sz w:val="34"/>
          <w:szCs w:val="34"/>
        </w:rPr>
        <w:t xml:space="preserve">EPILOGUE — THE HUMAN FACE BEHIND THIS REPORT</w:t>
      </w:r>
    </w:p>
    <w:p>
      <w:pPr>
        <w:spacing w:after="80" w:before="80"/>
      </w:pPr>
      <w:r>
        <w:t xml:space="preserve"/>
      </w:r>
    </w:p>
    <w:p>
      <w:pPr>
        <w:spacing w:after="80" w:before="80" w:line="276" w:lineRule="auto"/>
        <w:ind/>
      </w:pPr>
      <w:r>
        <w:rPr>
          <w:rFonts w:ascii="Arial" w:cs="Arial" w:eastAsia="Arial" w:hAnsi="Arial"/>
          <w:b/>
          <w:bCs/>
          <w:color w:val="2B2D42"/>
          <w:sz w:val="22"/>
          <w:szCs w:val="22"/>
        </w:rPr>
        <w:t xml:space="preserve">To the Honourable Speaker and Members of Parliament,</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I close this report not with a legal argument, not with a citation, not with a prayer for relief — but with a name and a face.</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The 75-year-old GEMS beneficiary. The elderly widow who received a false non-adherence letter. Her daughter wrote to Medscheme: “I request that you get your house in order and update your records. Stop confusing old lady.”</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I do not know her name. I know her case number: GEMS 000655789 Dependent 02. I know that she collected her cholesterol medication every month. I know that the system failed her. I know that when I refused to lie to her, my life was destroyed.</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She is the reason I spoke. She is the reason I did not stay silent. And she is the reason I am still standing — homeless, deregistered, without running water, but still standing.</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I also think of my mother. She is not here to read this report. But everything I have done, I have done because she taught me that a nurse’s first duty is to the patient — not to the employer, not to the system, not to the profit margin.</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A nurse who lies to a patient is not a nurse. A system that punishes the nurse who refuses to lie is not a healthcare system. It is a conspiracy against the vulnerable.</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Parliament has before it 500 pages of evidence, fifteen failed institutions, a corporate cover-up, a court order obtained by concealment, and a whistleblower who has been reduced to living without running water.</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But behind every page of this report is a 75-year-old widow who deserved better. And behind every signature on this report is a nurse who refused to lie to her.</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The question before Parliament is not whether I was constructively dismissed. The question is whether the institutions that failed me will fail the next whistleblower — and the next — and the next — until the NHI Fund, with its R200 billion, is built on the bones of people who tried to do the right thing.</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I have done everything the law asked of me. I have exhausted every remedy. I have knocked on every door.</w:t>
      </w:r>
    </w:p>
    <w:p>
      <w:pPr>
        <w:spacing w:after="120" w:before="120"/>
      </w:pPr>
      <w:r>
        <w:t xml:space="preserve"/>
      </w:r>
    </w:p>
    <w:p>
      <w:pPr>
        <w:spacing w:after="120" w:before="120"/>
      </w:pPr>
      <w:r>
        <w:rPr>
          <w:rFonts w:ascii="Arial" w:cs="Arial" w:eastAsia="Arial" w:hAnsi="Arial"/>
          <w:b/>
          <w:bCs/>
          <w:color w:val="0D1B2A"/>
          <w:sz w:val="28"/>
          <w:szCs w:val="28"/>
        </w:rPr>
        <w:t xml:space="preserve">This is the last door.</w:t>
      </w:r>
    </w:p>
    <w:p>
      <w:pPr>
        <w:spacing w:after="200" w:before="0"/>
      </w:pPr>
      <w:r>
        <w:rPr>
          <w:rFonts w:ascii="Arial" w:cs="Arial" w:eastAsia="Arial" w:hAnsi="Arial"/>
          <w:b/>
          <w:bCs/>
          <w:color w:val="0D1B2A"/>
          <w:sz w:val="28"/>
          <w:szCs w:val="28"/>
        </w:rPr>
        <w:t xml:space="preserve">I place my trust in Parliament.</w:t>
      </w:r>
    </w:p>
    <w:p>
      <w:pPr>
        <w:pBdr>
          <w:bottom w:val="single" w:color="B01010" w:sz="10" w:space="1"/>
        </w:pBdr>
        <w:spacing w:after="160" w:before="160"/>
      </w:pPr>
      <w:r>
        <w:t xml:space="preserve"/>
      </w:r>
    </w:p>
    <w:p>
      <w:pPr>
        <w:spacing w:after="40" w:before="120"/>
      </w:pPr>
      <w:r>
        <w:rPr>
          <w:rFonts w:ascii="Arial" w:cs="Arial" w:eastAsia="Arial" w:hAnsi="Arial"/>
          <w:b/>
          <w:bCs/>
          <w:color w:val="0D1B2A"/>
          <w:sz w:val="24"/>
          <w:szCs w:val="24"/>
        </w:rPr>
        <w:t xml:space="preserve">Wilbur William Matthee</w:t>
      </w:r>
    </w:p>
    <w:p>
      <w:pPr>
        <w:spacing w:after="40" w:before="0"/>
      </w:pPr>
      <w:r>
        <w:rPr>
          <w:rFonts w:ascii="Arial" w:cs="Arial" w:eastAsia="Arial" w:hAnsi="Arial"/>
          <w:color w:val="4A4A5A"/>
          <w:sz w:val="19"/>
          <w:szCs w:val="19"/>
        </w:rPr>
        <w:t xml:space="preserve">RN | BTech General Nursing | PGDip Health Services Management (NQF 8)  |  Founder — EthicHawks</w:t>
      </w:r>
    </w:p>
    <w:p>
      <w:pPr>
        <w:spacing w:after="200" w:before="0"/>
      </w:pPr>
      <w:r>
        <w:rPr>
          <w:rFonts w:ascii="Arial" w:cs="Arial" w:eastAsia="Arial" w:hAnsi="Arial"/>
          <w:color w:val="4A4A5A"/>
          <w:sz w:val="19"/>
          <w:szCs w:val="19"/>
        </w:rPr>
        <w:t xml:space="preserve">Cape Town, South Africa  |  June 2026</w:t>
      </w:r>
    </w:p>
    <w:p>
      <w:pPr>
        <w:spacing w:after="160" w:before="160"/>
        <w:jc w:val="center"/>
      </w:pPr>
      <w:r>
        <w:rPr>
          <w:rFonts w:ascii="Arial" w:cs="Arial" w:eastAsia="Arial" w:hAnsi="Arial"/>
          <w:color w:val="B01010"/>
          <w:sz w:val="22"/>
          <w:szCs w:val="22"/>
        </w:rPr>
        <w:t xml:space="preserve">“The house is not yet burning. But the fire alarm has been ringing for over a year. This report is the evidence of the smoke. Parliament must act before the NHI becomes the fire.”</w:t>
      </w:r>
    </w:p>
    <w:p>
      <w:r>
        <w:br w:type="page"/>
      </w:r>
    </w:p>
    <w:p>
      <w:pPr>
        <w:shd w:fill="0D1B2A" w:val="clear"/>
        <w:spacing w:after="200" w:before="400"/>
        <w:ind w:left="200" w:right="200"/>
      </w:pPr>
      <w:r>
        <w:rPr>
          <w:rFonts w:ascii="Arial" w:cs="Arial" w:eastAsia="Arial" w:hAnsi="Arial"/>
          <w:b/>
          <w:bCs/>
          <w:color w:val="FFFFFF"/>
          <w:sz w:val="34"/>
          <w:szCs w:val="34"/>
        </w:rPr>
        <w:t xml:space="preserve">INDEX OF ANNEXURES — CONSOLIDATED EVIDENCE BUNDLE</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All primary source documents referenced in this report are available to Parliament upon request. The complainant requests that a parliamentary legal officer or independent forensic investigator be appointed to verify the authenticity of the bundle.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400"/>
        <w:gridCol w:w="2560"/>
      </w:tblGrid>
      <w:tr>
        <w:tc>
          <w:tcPr>
            <w:tcW w:type="dxa" w:w="110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Ref</w:t>
            </w:r>
          </w:p>
        </w:tc>
        <w:tc>
          <w:tcPr>
            <w:tcW w:type="dxa" w:w="430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c>
          <w:tcPr>
            <w:tcW w:type="dxa" w:w="140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Date</w:t>
            </w:r>
          </w:p>
        </w:tc>
        <w:tc>
          <w:tcPr>
            <w:tcW w:type="dxa" w:w="2560"/>
            <w:tcBorders>
              <w:top w:val="single" w:color="CCCCCC" w:sz="4"/>
              <w:left w:val="single" w:color="CCCCCC" w:sz="4"/>
              <w:bottom w:val="single" w:color="CCCCCC" w:sz="4"/>
              <w:right w:val="single" w:color="CCCCCC" w:sz="4"/>
            </w:tcBorders>
            <w:shd w:fill="B01010" w:val="clear"/>
            <w:tcMar>
              <w:top w:type="dxa" w:w="100"/>
              <w:left w:type="dxa" w:w="120"/>
              <w:bottom w:type="dxa" w:w="100"/>
              <w:right w:type="dxa" w:w="120"/>
            </w:tcMar>
          </w:tcPr>
          <w:p>
            <w:r>
              <w:rPr>
                <w:rFonts w:ascii="Arial" w:cs="Arial" w:eastAsia="Arial" w:hAnsi="Arial"/>
                <w:b/>
                <w:bCs/>
                <w:color w:val="FFFFFF"/>
                <w:sz w:val="19"/>
                <w:szCs w:val="19"/>
              </w:rPr>
              <w:t xml:space="preserve">Source</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A1</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Interview invitation — ‘Specialist: Care Manager’ role (3 invitations)</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Jan 2024</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AfroCentric / Medscheme</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A2</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Employment contract — ‘Care Coordinator’ (Grade B4M1)</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9 Apr 2024</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AfroCentric / Medscheme</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A3</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First Aider roster — Acting H&amp;S Chairperson, 13+ staff across 3 floors</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25 Jul 2025</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B1</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Dr Jacques Malan psychiatric letter — severe depression and PTSD (FCPSYCH(SA))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16 May 2025</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Dr Jacques Malan</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C1</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‘Wilma’ Microsoft Teams message (gender identity harassment)</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23 Sep 2025</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Medscheme systems</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C2</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Formal discrimination complaint (11 pages)</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25 Sep 2025</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C3</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Retaliatory unpaid leave entry (same day as discrimination complaint)</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29 Sep 2025</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Medscheme payroll</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D1</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Gexus-DMS Root Cause Analysis (VICT1) — confirms structural integration gap</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23 Oct 2025</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Medscheme internal</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D2</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Protected disclosure email — complainant refuses to contact patient on false data</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23 Oct 2025</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D3</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Manager’s response: ‘I am not in agreement with your feedback’</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23 Oct 2025</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Mary-Ann Jones</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E1</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Recorded meeting transcript — retaliatory admission (audio available, transcribed)</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31 Oct 2025</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F1</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Executive escalation to CEO (32 attachments)</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4 Dec 2025</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G1</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Priority 1 Material Risk Report to Board (38 attachments), including s60 EEA warning</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9 Dec 2025</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H1</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Employer’s CCMA opposing affidavit — depression as ‘cynical excuse’ (Xolile Manyati)</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10 Dec 2025</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Manyati / AfroCentric</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H2</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Resignation letter — citing LRA s186(1)(e) constructive dismissal explicitly</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11 Dec 2025</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I1</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CRO suppression email — ‘stop sending these e-mails to our directors’ (Monwabisi Kula)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18 Dec 2025</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Kula (CRO)</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J1</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CMS declination letter (first) — refers to HPCSA</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4 Feb 2026</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CMS</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J2</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SAHRC response — acknowledges seriousness, redirects to CCMA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10 Feb 2026</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SAHRC</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J3</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SANC formal complaint SANC/MEDSCHEME/MATTHEE/20260105 (no acknowledgment received)</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10 Feb 2026</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K1</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JSE declination — Ref JvS/166792</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6 Mar 2026</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JSE</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K2</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Labour Court portal rejection — ‘good day you put date’</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12 Mar 2026</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Labour Court registry</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L1</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Section 162 director delinquency application — filed</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19 Mar 2026</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M1</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High Court interim interdict — gag order (ex parte, answering affidavit concealed) — AFR1282</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16 Apr 2026</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Western Cape High Court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M2</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Rule nisi extended to 1 March 2027</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28 May 2026</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Western Cape High Court</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N1</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Labour Court Statement of Response — ‘not aware’ of Case 2026-077546 (apparent perjury) — Vijay Makenjee</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19 May 2026</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Makenjee / AfroCentric</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O1</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‘Good luck to you then’ email</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2 Jun 2026</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Vijay Makenjee</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P1</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Deneys ‘without prejudice’ letter — threatens contempt for petitioning Parliament</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4 Jun 2026</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Deneys Reitz Inc.</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Q1</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Unilateral Pre-Trial Minute</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11 Jun 2026</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R1</w:t>
            </w:r>
          </w:p>
        </w:tc>
        <w:tc>
          <w:tcPr>
            <w:tcW w:type="dxa" w:w="43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Final notice to employer — deadline for settlement framework</w:t>
            </w:r>
          </w:p>
        </w:tc>
        <w:tc>
          <w:tcPr>
            <w:tcW w:type="dxa" w:w="140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13 Jun 2026</w:t>
            </w:r>
          </w:p>
        </w:tc>
        <w:tc>
          <w:tcPr>
            <w:tcW w:type="dxa" w:w="2560"/>
            <w:tcBorders>
              <w:top w:val="single" w:color="CCCCCC" w:sz="4"/>
              <w:left w:val="single" w:color="CCCCCC" w:sz="4"/>
              <w:bottom w:val="single" w:color="CCCCCC" w:sz="4"/>
              <w:right w:val="single" w:color="CCCCCC" w:sz="4"/>
            </w:tcBorders>
            <w:shd w:fill="F4F4F6" w:val="clear"/>
            <w:tcMar>
              <w:top w:type="dxa" w:w="70"/>
              <w:left w:type="dxa" w:w="120"/>
              <w:bottom w:type="dxa" w:w="70"/>
              <w:right w:type="dxa" w:w="12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S1</w:t>
            </w:r>
          </w:p>
        </w:tc>
        <w:tc>
          <w:tcPr>
            <w:tcW w:type="dxa" w:w="4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This Consolidated Forensic Oversight Report</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June 2026</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2B2D42"/>
                <w:sz w:val="19"/>
                <w:szCs w:val="19"/>
              </w:rPr>
              <w:t xml:space="preserve">EthicHawks / Complainant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20"/>
                <w:szCs w:val="20"/>
              </w:rPr>
              <w:t xml:space="preserve">Audio Recording</w:t>
            </w:r>
          </w:p>
        </w:tc>
        <w:tc>
          <w:tcPr>
            <w:tcW w:type="dxa" w:w="368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368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20"/>
                <w:szCs w:val="20"/>
              </w:rPr>
              <w:t xml:space="preserve">Content and Status</w:t>
            </w:r>
          </w:p>
        </w:tc>
      </w:tr>
      <w:tr>
        <w:tc>
          <w:tcPr>
            <w:tcW w:type="dxa" w:w="200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Recording 1</w:t>
            </w:r>
          </w:p>
        </w:tc>
        <w:tc>
          <w:tcPr>
            <w:tcW w:type="dxa" w:w="36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31 Oct 2025</w:t>
            </w:r>
          </w:p>
        </w:tc>
        <w:tc>
          <w:tcPr>
            <w:tcW w:type="dxa" w:w="3680"/>
            <w:tcBorders>
              <w:top w:val="single" w:color="CCCCCC" w:sz="4"/>
              <w:left w:val="single" w:color="CCCCCC" w:sz="4"/>
              <w:bottom w:val="single" w:color="CCCCCC" w:sz="4"/>
              <w:right w:val="single" w:color="CCCCCC" w:sz="4"/>
            </w:tcBorders>
            <w:shd w:fill="F4F4F6" w:val="clear"/>
            <w:tcMar>
              <w:top w:type="dxa" w:w="80"/>
              <w:left w:type="dxa" w:w="140"/>
              <w:bottom w:type="dxa" w:w="80"/>
              <w:right w:type="dxa" w:w="140"/>
            </w:tcMar>
          </w:tcPr>
          <w:p>
            <w:r>
              <w:rPr>
                <w:rFonts w:ascii="Arial" w:cs="Arial" w:eastAsia="Arial" w:hAnsi="Arial"/>
                <w:color w:val="2B2D42"/>
                <w:sz w:val="20"/>
                <w:szCs w:val="20"/>
              </w:rPr>
              <w:t xml:space="preserve">Retaliatory admission by named manager — available and transcribed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Recording 2</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23 Feb 2026</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B2D42"/>
                <w:sz w:val="20"/>
                <w:szCs w:val="20"/>
              </w:rPr>
              <w:t xml:space="preserve">Delft Police Station: officer falsely claims to be station commander and refuses criminal case — available; not yet transcribed</w:t>
            </w:r>
          </w:p>
        </w:tc>
      </w:tr>
    </w:tbl>
    <w:p>
      <w:r>
        <w:br w:type="page"/>
      </w:r>
    </w:p>
    <w:p>
      <w:pPr>
        <w:shd w:fill="0D1B2A" w:val="clear"/>
        <w:spacing w:after="200" w:before="400"/>
        <w:ind w:left="200" w:right="200"/>
      </w:pPr>
      <w:r>
        <w:rPr>
          <w:rFonts w:ascii="Arial" w:cs="Arial" w:eastAsia="Arial" w:hAnsi="Arial"/>
          <w:b/>
          <w:bCs/>
          <w:color w:val="FFFFFF"/>
          <w:sz w:val="34"/>
          <w:szCs w:val="34"/>
        </w:rPr>
        <w:t xml:space="preserve">SIGNATURE BLOCK AND COMMISSIONER OF OATHS</w:t>
      </w:r>
    </w:p>
    <w:p>
      <w:pPr>
        <w:spacing w:after="80" w:before="80"/>
      </w:pPr>
      <w:r>
        <w:t xml:space="preserve"/>
      </w:r>
    </w:p>
    <w:p>
      <w:pPr>
        <w:spacing w:after="80" w:before="80" w:line="276" w:lineRule="auto"/>
        <w:ind/>
      </w:pPr>
      <w:r>
        <w:rPr>
          <w:rFonts w:ascii="Arial" w:cs="Arial" w:eastAsia="Arial" w:hAnsi="Arial"/>
          <w:b w:val="false"/>
          <w:bCs w:val="false"/>
          <w:color w:val="2B2D42"/>
          <w:sz w:val="22"/>
          <w:szCs w:val="22"/>
        </w:rPr>
        <w:t xml:space="preserve">I, the undersigned, WILBUR WILLIAM MATTHEE, declare under oath that the contents of this Consolidated Forensic Oversight Report are, to the best of my knowledge and belief, true and correct. I have personal knowledge of the facts set out herein, except where indicated to the contrary, and the documentary evidence referenced throughout is genuine and has not been materially altered. I am aware that making false statements in a submission to Parliament may be a criminal offence. I have not made any false statements. I make this report in good faith, under the protections of the Protected Disclosures Act 26 of 2000, and in the exercise of my constitutional right to petition Parliament under Section 56 of the Constitution of the Republic of South Africa, 1996.</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1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FULL NAME</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Wilbur William Matthee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ID NUMBER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890903 5151 087</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CAPACITY</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Complainant / Protected Whistleblower / Self-Represented Litigant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CONTACT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info@ethichawks.co.za  |  069 635 1435</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ADDRESS</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15 Bellevue Street, Voorbrug, Cape Town, 7001 (currently homeless — service by email only)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DATE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June 2026</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PLACE</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Cape Town, South Africa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SIGNATURE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
_______________________________________________</w:t>
            </w:r>
          </w:p>
        </w:tc>
      </w:tr>
    </w:tbl>
    <w:p>
      <w:pPr>
        <w:spacing w:after="160" w:before="160"/>
      </w:pPr>
      <w:r>
        <w:t xml:space="preserve"/>
      </w:r>
    </w:p>
    <w:p>
      <w:pPr>
        <w:pBdr>
          <w:bottom w:val="single" w:color="B01010" w:sz="6" w:space="2"/>
        </w:pBdr>
        <w:spacing w:after="100" w:before="280"/>
      </w:pPr>
      <w:r>
        <w:rPr>
          <w:rFonts w:ascii="Arial" w:cs="Arial" w:eastAsia="Arial" w:hAnsi="Arial"/>
          <w:b/>
          <w:bCs/>
          <w:color w:val="B01010"/>
          <w:sz w:val="28"/>
          <w:szCs w:val="28"/>
        </w:rPr>
        <w:t xml:space="preserve">Commissioner of Oaths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1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FULL NAME</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CAPACITY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BUSINESS ADDRESS</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AREA OF JURISDICTION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APPOINTMENT EXPIRY DATE</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DATE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PLACE</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SIGNATURE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
_______________________________________________</w:t>
            </w:r>
          </w:p>
        </w:tc>
      </w:tr>
      <w:tr>
        <w:tc>
          <w:tcPr>
            <w:tcW w:type="dxa" w:w="320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STAMP</w:t>
            </w:r>
          </w:p>
        </w:tc>
        <w:tc>
          <w:tcPr>
            <w:tcW w:type="dxa" w:w="6160"/>
            <w:tcBorders>
              <w:top w:val="single" w:color="CCCCCC" w:sz="4"/>
              <w:left w:val="single" w:color="CCCCCC" w:sz="4"/>
              <w:bottom w:val="single" w:color="CCCCCC" w:sz="4"/>
              <w:right w:val="single" w:color="CCCCCC" w:sz="4"/>
            </w:tcBorders>
            <w:shd w:fill="F4F4F6" w:val="clear"/>
            <w:tcMar>
              <w:top w:type="dxa" w:w="80"/>
              <w:left w:type="dxa" w:w="160"/>
              <w:bottom w:type="dxa" w:w="80"/>
              <w:right w:type="dxa" w:w="160"/>
            </w:tcMar>
          </w:tcPr>
          <w:p>
            <w:r>
              <w:rPr>
                <w:rFonts w:ascii="Arial" w:cs="Arial" w:eastAsia="Arial" w:hAnsi="Arial"/>
                <w:color w:val="2B2D42"/>
                <w:sz w:val="20"/>
                <w:szCs w:val="20"/>
              </w:rPr>
              <w:t xml:space="preserve">(Affix Commissioner of Oaths stamp here)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1010" w:sz="4" w:space="1"/>
      </w:pBdr>
      <w:spacing w:before="80"/>
      <w:jc w:val="center"/>
    </w:pPr>
    <w:r>
      <w:rPr>
        <w:rFonts w:ascii="Arial" w:cs="Arial" w:eastAsia="Arial" w:hAnsi="Arial"/>
        <w:color w:val="4A4A5A"/>
        <w:sz w:val="16"/>
        <w:szCs w:val="16"/>
      </w:rPr>
      <w:t xml:space="preserve">Sr. Wilbur William Matthee  |  info@ethichawks.co.za  |  069 635 1435  |  Page </w:t>
    </w:r>
    <w:r>
      <w:rPr>
        <w:rFonts w:ascii="Arial" w:cs="Arial" w:eastAsia="Arial" w:hAnsi="Arial"/>
        <w:color w:val="4A4A5A"/>
        <w:sz w:val="16"/>
        <w:szCs w:val="16"/>
      </w:rPr>
      <w:fldChar w:fldCharType="begin"/>
      <w:instrText xml:space="preserve">PAGE</w:instrText>
      <w:fldChar w:fldCharType="separate"/>
      <w:fldChar w:fldCharType="end"/>
    </w:r>
    <w:r>
      <w:rPr>
        <w:rFonts w:ascii="Arial" w:cs="Arial" w:eastAsia="Arial" w:hAnsi="Arial"/>
        <w:color w:val="4A4A5A"/>
        <w:sz w:val="16"/>
        <w:szCs w:val="16"/>
      </w:rPr>
      <w:t xml:space="preserve"> of </w:t>
    </w:r>
    <w:r>
      <w:rPr>
        <w:rFonts w:ascii="Arial" w:cs="Arial" w:eastAsia="Arial" w:hAnsi="Arial"/>
        <w:color w:val="4A4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1010" w:sz="6" w:space="1"/>
      </w:pBdr>
      <w:spacing w:after="80"/>
    </w:pPr>
    <w:r>
      <w:rPr>
        <w:rFonts w:ascii="Arial" w:cs="Arial" w:eastAsia="Arial" w:hAnsi="Arial"/>
        <w:color w:val="4A4A5A"/>
        <w:sz w:val="16"/>
        <w:szCs w:val="16"/>
      </w:rPr>
      <w:t xml:space="preserve">EthicHawks Forensic Governance &amp; Compliance Consultancy</w:t>
    </w:r>
    <w:r>
      <w:rPr>
        <w:rFonts w:ascii="Arial" w:cs="Arial" w:eastAsia="Arial" w:hAnsi="Arial"/>
        <w:color w:val="B01010"/>
        <w:sz w:val="16"/>
        <w:szCs w:val="16"/>
      </w:rPr>
      <w:t xml:space="preserve">   |   CONFIDENTIAL PARLIAMENTARY SUBMISSION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2026-06-16T23:11:04.743Z</dcterms:created>
  <dcterms:modified xsi:type="dcterms:W3CDTF">2026-06-16T23:11:04.756Z</dcterms:modified>
</cp:coreProperties>
</file>

<file path=docProps/custom.xml><?xml version="1.0" encoding="utf-8"?>
<Properties xmlns="http://schemas.openxmlformats.org/officeDocument/2006/custom-properties" xmlns:vt="http://schemas.openxmlformats.org/officeDocument/2006/docPropsVTypes"/>
</file>