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17"/>
        <w:gridCol w:w="2729"/>
      </w:tblGrid>
      <w:tr>
        <w:tc>
          <w:tcPr>
            <w:tcW w:type="dxa" w:w="7017"/>
            <w:tcBorders>
              <w:top w:val="none" w:color="FFFFFF" w:sz="0"/>
              <w:left w:val="none" w:color="FFFFFF" w:sz="0"/>
              <w:bottom w:val="none" w:color="FFFFFF" w:sz="0"/>
              <w:right w:val="none" w:color="FFFFFF" w:sz="0"/>
            </w:tcBorders>
            <w:shd w:fill="1B7A78" w:val="clear"/>
            <w:tcMar>
              <w:top w:type="dxa" w:w="160"/>
              <w:left w:type="dxa" w:w="240"/>
              <w:bottom w:type="dxa" w:w="160"/>
              <w:right w:type="dxa" w:w="120"/>
            </w:tcMar>
          </w:tcPr>
          <w:p>
            <w:r>
              <w:rPr>
                <w:rFonts w:ascii="Arial" w:cs="Arial" w:eastAsia="Arial" w:hAnsi="Arial"/>
                <w:b/>
                <w:bCs/>
                <w:color w:val="FFFFFF"/>
                <w:sz w:val="52"/>
                <w:szCs w:val="52"/>
              </w:rPr>
              <w:t xml:space="preserve">ETHICHAWKS</w:t>
            </w:r>
          </w:p>
          <w:p>
            <w:r>
              <w:rPr>
                <w:rFonts w:ascii="Arial" w:cs="Arial" w:eastAsia="Arial" w:hAnsi="Arial"/>
                <w:color w:val="C8E6E6"/>
                <w:sz w:val="18"/>
                <w:szCs w:val="18"/>
              </w:rPr>
              <w:t xml:space="preserve">FORENSIC GOVERNANCE &amp; COMPLIANCE</w:t>
            </w:r>
          </w:p>
        </w:tc>
        <w:tc>
          <w:tcPr>
            <w:tcW w:type="dxa" w:w="2729"/>
            <w:tcBorders>
              <w:top w:val="none" w:color="FFFFFF" w:sz="0"/>
              <w:left w:val="none" w:color="FFFFFF" w:sz="0"/>
              <w:bottom w:val="none" w:color="FFFFFF" w:sz="0"/>
              <w:right w:val="none" w:color="FFFFFF" w:sz="0"/>
            </w:tcBorders>
            <w:shd w:fill="1A2E35" w:val="clear"/>
            <w:tcMar>
              <w:top w:type="dxa" w:w="120"/>
              <w:left w:type="dxa" w:w="160"/>
              <w:bottom w:type="dxa" w:w="120"/>
              <w:right w:type="dxa" w:w="160"/>
            </w:tcMar>
          </w:tcPr>
          <w:p>
            <w:pPr>
              <w:jc w:val="right"/>
            </w:pPr>
            <w:r>
              <w:rPr>
                <w:rFonts w:ascii="Arial" w:cs="Arial" w:eastAsia="Arial" w:hAnsi="Arial"/>
                <w:color w:val="C8E6E6"/>
                <w:sz w:val="15"/>
                <w:szCs w:val="15"/>
              </w:rPr>
              <w:t xml:space="preserve">info@ethichawks.co.za</w:t>
            </w:r>
          </w:p>
          <w:p>
            <w:pPr>
              <w:jc w:val="right"/>
            </w:pPr>
            <w:r>
              <w:rPr>
                <w:rFonts w:ascii="Arial" w:cs="Arial" w:eastAsia="Arial" w:hAnsi="Arial"/>
                <w:color w:val="C8E6E6"/>
                <w:sz w:val="15"/>
                <w:szCs w:val="15"/>
              </w:rPr>
              <w:t xml:space="preserve">wilburmat@gmail.com</w:t>
            </w:r>
          </w:p>
          <w:p>
            <w:pPr>
              <w:jc w:val="right"/>
            </w:pPr>
            <w:r>
              <w:rPr>
                <w:rFonts w:ascii="Arial" w:cs="Arial" w:eastAsia="Arial" w:hAnsi="Arial"/>
                <w:color w:val="C8E6E6"/>
                <w:sz w:val="15"/>
                <w:szCs w:val="15"/>
              </w:rPr>
              <w:t xml:space="preserve">069 635 1435 / 063 378 8782</w:t>
            </w:r>
          </w:p>
          <w:p>
            <w:pPr>
              <w:jc w:val="right"/>
            </w:pPr>
            <w:r>
              <w:rPr>
                <w:rFonts w:ascii="Arial" w:cs="Arial" w:eastAsia="Arial" w:hAnsi="Arial"/>
                <w:color w:val="C8E6E6"/>
                <w:sz w:val="15"/>
                <w:szCs w:val="15"/>
              </w:rPr>
              <w:t xml:space="preserve">15 Bellevue Street, Voorbrug</w:t>
            </w:r>
          </w:p>
          <w:p>
            <w:pPr>
              <w:jc w:val="right"/>
            </w:pPr>
            <w:r>
              <w:rPr>
                <w:rFonts w:ascii="Arial" w:cs="Arial" w:eastAsia="Arial" w:hAnsi="Arial"/>
                <w:color w:val="C8E6E6"/>
                <w:sz w:val="15"/>
                <w:szCs w:val="15"/>
              </w:rPr>
              <w:t xml:space="preserve">Cape Town, 7100</w:t>
            </w:r>
          </w:p>
        </w:tc>
      </w:tr>
    </w:tbl>
    <w:p>
      <w:pPr>
        <w:pBdr>
          <w:bottom w:val="single" w:color="C8942A" w:sz="6"/>
        </w:pBdr>
        <w:spacing w:before="0" w:after="0"/>
      </w:pPr>
    </w:p>
    <w:p>
      <w:pPr>
        <w:spacing w:before="0" w:after="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4"/>
        <w:gridCol w:w="7992"/>
      </w:tblGrid>
      <w:tr>
        <w:tc>
          <w:tcPr>
            <w:tcW w:type="dxa" w:w="1754"/>
            <w:tcBorders>
              <w:top w:val="none" w:color="FFFFFF" w:sz="0"/>
              <w:left w:val="none" w:color="FFFFFF" w:sz="0"/>
              <w:bottom w:val="none" w:color="FFFFFF" w:sz="0"/>
              <w:right w:val="none" w:color="FFFFFF" w:sz="0"/>
            </w:tcBorders>
            <w:tcMar>
              <w:top w:type="dxa" w:w="50"/>
              <w:left w:type="dxa" w:w="0"/>
              <w:bottom w:type="dxa" w:w="50"/>
              <w:right w:type="dxa" w:w="100"/>
            </w:tcMar>
          </w:tcPr>
          <w:p>
            <w:r>
              <w:rPr>
                <w:rFonts w:ascii="Arial" w:cs="Arial" w:eastAsia="Arial" w:hAnsi="Arial"/>
                <w:b/>
                <w:bCs/>
                <w:color w:val="1B7A78"/>
                <w:sz w:val="20"/>
                <w:szCs w:val="20"/>
              </w:rPr>
              <w:t xml:space="preserve">TO:</w:t>
            </w:r>
          </w:p>
        </w:tc>
        <w:tc>
          <w:tcPr>
            <w:tcW w:type="dxa" w:w="7992"/>
            <w:tcBorders>
              <w:top w:val="none" w:color="FFFFFF" w:sz="0"/>
              <w:left w:val="none" w:color="FFFFFF" w:sz="0"/>
              <w:bottom w:val="none" w:color="FFFFFF" w:sz="0"/>
              <w:right w:val="none" w:color="FFFFFF" w:sz="0"/>
            </w:tcBorders>
            <w:tcMar>
              <w:top w:type="dxa" w:w="50"/>
              <w:left w:type="dxa" w:w="100"/>
              <w:bottom w:type="dxa" w:w="50"/>
              <w:right w:type="dxa" w:w="0"/>
            </w:tcMar>
          </w:tcPr>
          <w:p>
            <w:pPr>
              <w:jc w:val="both"/>
            </w:pPr>
            <w:r>
              <w:rPr>
                <w:rFonts w:ascii="Arial" w:cs="Arial" w:eastAsia="Arial" w:hAnsi="Arial"/>
                <w:color w:val="1A2E35"/>
                <w:sz w:val="20"/>
                <w:szCs w:val="20"/>
              </w:rPr>
              <w:t xml:space="preserve">Department of Employment and Labour — Chief Inspectorate: David Esau / Inspector Fazeka Nongalo</w:t>
            </w:r>
          </w:p>
        </w:tc>
      </w:tr>
      <w:tr>
        <w:tc>
          <w:tcPr>
            <w:tcW w:type="dxa" w:w="1754"/>
            <w:tcBorders>
              <w:top w:val="none" w:color="FFFFFF" w:sz="0"/>
              <w:left w:val="none" w:color="FFFFFF" w:sz="0"/>
              <w:bottom w:val="none" w:color="FFFFFF" w:sz="0"/>
              <w:right w:val="none" w:color="FFFFFF" w:sz="0"/>
            </w:tcBorders>
            <w:tcMar>
              <w:top w:type="dxa" w:w="50"/>
              <w:left w:type="dxa" w:w="0"/>
              <w:bottom w:type="dxa" w:w="50"/>
              <w:right w:type="dxa" w:w="100"/>
            </w:tcMar>
          </w:tcPr>
          <w:p>
            <w:r>
              <w:rPr>
                <w:rFonts w:ascii="Arial" w:cs="Arial" w:eastAsia="Arial" w:hAnsi="Arial"/>
                <w:b/>
                <w:bCs/>
                <w:color w:val="1B7A78"/>
                <w:sz w:val="20"/>
                <w:szCs w:val="20"/>
              </w:rPr>
              <w:t xml:space="preserve">REF:</w:t>
            </w:r>
          </w:p>
        </w:tc>
        <w:tc>
          <w:tcPr>
            <w:tcW w:type="dxa" w:w="7992"/>
            <w:tcBorders>
              <w:top w:val="none" w:color="FFFFFF" w:sz="0"/>
              <w:left w:val="none" w:color="FFFFFF" w:sz="0"/>
              <w:bottom w:val="none" w:color="FFFFFF" w:sz="0"/>
              <w:right w:val="none" w:color="FFFFFF" w:sz="0"/>
            </w:tcBorders>
            <w:tcMar>
              <w:top w:type="dxa" w:w="50"/>
              <w:left w:type="dxa" w:w="100"/>
              <w:bottom w:type="dxa" w:w="50"/>
              <w:right w:type="dxa" w:w="0"/>
            </w:tcMar>
          </w:tcPr>
          <w:p>
            <w:pPr>
              <w:jc w:val="both"/>
            </w:pPr>
            <w:r>
              <w:rPr>
                <w:rFonts w:ascii="Arial" w:cs="Arial" w:eastAsia="Arial" w:hAnsi="Arial"/>
                <w:color w:val="1A2E35"/>
                <w:sz w:val="20"/>
                <w:szCs w:val="20"/>
              </w:rPr>
              <w:t xml:space="preserve">Existing DEL Complaint File — Matthee / Medscheme Holdings (Pty) Ltd</w:t>
            </w:r>
          </w:p>
        </w:tc>
      </w:tr>
      <w:tr>
        <w:tc>
          <w:tcPr>
            <w:tcW w:type="dxa" w:w="1754"/>
            <w:tcBorders>
              <w:top w:val="none" w:color="FFFFFF" w:sz="0"/>
              <w:left w:val="none" w:color="FFFFFF" w:sz="0"/>
              <w:bottom w:val="none" w:color="FFFFFF" w:sz="0"/>
              <w:right w:val="none" w:color="FFFFFF" w:sz="0"/>
            </w:tcBorders>
            <w:tcMar>
              <w:top w:type="dxa" w:w="50"/>
              <w:left w:type="dxa" w:w="0"/>
              <w:bottom w:type="dxa" w:w="50"/>
              <w:right w:type="dxa" w:w="100"/>
            </w:tcMar>
          </w:tcPr>
          <w:p>
            <w:r>
              <w:rPr>
                <w:rFonts w:ascii="Arial" w:cs="Arial" w:eastAsia="Arial" w:hAnsi="Arial"/>
                <w:b/>
                <w:bCs/>
                <w:color w:val="1B7A78"/>
                <w:sz w:val="20"/>
                <w:szCs w:val="20"/>
              </w:rPr>
              <w:t xml:space="preserve">DATE:</w:t>
            </w:r>
          </w:p>
        </w:tc>
        <w:tc>
          <w:tcPr>
            <w:tcW w:type="dxa" w:w="7992"/>
            <w:tcBorders>
              <w:top w:val="none" w:color="FFFFFF" w:sz="0"/>
              <w:left w:val="none" w:color="FFFFFF" w:sz="0"/>
              <w:bottom w:val="none" w:color="FFFFFF" w:sz="0"/>
              <w:right w:val="none" w:color="FFFFFF" w:sz="0"/>
            </w:tcBorders>
            <w:tcMar>
              <w:top w:type="dxa" w:w="50"/>
              <w:left w:type="dxa" w:w="100"/>
              <w:bottom w:type="dxa" w:w="50"/>
              <w:right w:type="dxa" w:w="0"/>
            </w:tcMar>
          </w:tcPr>
          <w:p>
            <w:pPr>
              <w:jc w:val="both"/>
            </w:pPr>
            <w:r>
              <w:rPr>
                <w:rFonts w:ascii="Arial" w:cs="Arial" w:eastAsia="Arial" w:hAnsi="Arial"/>
                <w:color w:val="1A2E35"/>
                <w:sz w:val="20"/>
                <w:szCs w:val="20"/>
              </w:rPr>
              <w:t xml:space="preserve">19 March 2026</w:t>
            </w:r>
          </w:p>
        </w:tc>
      </w:tr>
      <w:tr>
        <w:tc>
          <w:tcPr>
            <w:tcW w:type="dxa" w:w="1754"/>
            <w:tcBorders>
              <w:top w:val="none" w:color="FFFFFF" w:sz="0"/>
              <w:left w:val="none" w:color="FFFFFF" w:sz="0"/>
              <w:bottom w:val="none" w:color="FFFFFF" w:sz="0"/>
              <w:right w:val="none" w:color="FFFFFF" w:sz="0"/>
            </w:tcBorders>
            <w:tcMar>
              <w:top w:type="dxa" w:w="50"/>
              <w:left w:type="dxa" w:w="0"/>
              <w:bottom w:type="dxa" w:w="50"/>
              <w:right w:type="dxa" w:w="100"/>
            </w:tcMar>
          </w:tcPr>
          <w:p>
            <w:r>
              <w:rPr>
                <w:rFonts w:ascii="Arial" w:cs="Arial" w:eastAsia="Arial" w:hAnsi="Arial"/>
                <w:b/>
                <w:bCs/>
                <w:color w:val="1B7A78"/>
                <w:sz w:val="20"/>
                <w:szCs w:val="20"/>
              </w:rPr>
              <w:t xml:space="preserve">RE:</w:t>
            </w:r>
          </w:p>
        </w:tc>
        <w:tc>
          <w:tcPr>
            <w:tcW w:type="dxa" w:w="7992"/>
            <w:tcBorders>
              <w:top w:val="none" w:color="FFFFFF" w:sz="0"/>
              <w:left w:val="none" w:color="FFFFFF" w:sz="0"/>
              <w:bottom w:val="none" w:color="FFFFFF" w:sz="0"/>
              <w:right w:val="none" w:color="FFFFFF" w:sz="0"/>
            </w:tcBorders>
            <w:tcMar>
              <w:top w:type="dxa" w:w="50"/>
              <w:left w:type="dxa" w:w="100"/>
              <w:bottom w:type="dxa" w:w="50"/>
              <w:right w:type="dxa" w:w="0"/>
            </w:tcMar>
          </w:tcPr>
          <w:p>
            <w:pPr>
              <w:jc w:val="both"/>
            </w:pPr>
            <w:r>
              <w:rPr>
                <w:rFonts w:ascii="Arial" w:cs="Arial" w:eastAsia="Arial" w:hAnsi="Arial"/>
                <w:color w:val="1A2E35"/>
                <w:sz w:val="20"/>
                <w:szCs w:val="20"/>
              </w:rPr>
              <w:t xml:space="preserve">FACTUAL UPDATE — HIGH COURT SECTION 162 APPLICATION FILED 19 MARCH 2026 | FILING REFERENCE HCGS951842 | BCEA AND UIF NON-COMPLIANCE ONGOING</w:t>
            </w:r>
          </w:p>
        </w:tc>
      </w:tr>
    </w:tbl>
    <w:p>
      <w:pPr>
        <w:spacing w:before="0" w:after="160"/>
      </w:pPr>
    </w:p>
    <w:p>
      <w:pPr>
        <w:pBdr>
          <w:bottom w:val="single" w:color="1B7A78" w:sz="8"/>
        </w:pBdr>
        <w:spacing w:before="0" w:after="0"/>
      </w:pPr>
    </w:p>
    <w:p>
      <w:pPr>
        <w:spacing w:before="0" w:after="120"/>
      </w:pPr>
    </w:p>
    <w:p>
      <w:pPr>
        <w:spacing w:before="120" w:after="120"/>
      </w:pPr>
      <w:r>
        <w:rPr>
          <w:rFonts w:ascii="Arial" w:cs="Arial" w:eastAsia="Arial" w:hAnsi="Arial"/>
          <w:color w:val="1A2E35"/>
          <w:sz w:val="22"/>
          <w:szCs w:val="22"/>
        </w:rPr>
        <w:t xml:space="preserve">Dear Mr Esau / Inspector Nongalo,</w:t>
      </w:r>
    </w:p>
    <w:p>
      <w:pPr>
        <w:spacing w:before="80" w:after="80"/>
        <w:ind/>
        <w:jc w:val="both"/>
      </w:pPr>
      <w:r>
        <w:rPr>
          <w:rFonts w:ascii="Arial" w:cs="Arial" w:eastAsia="Arial" w:hAnsi="Arial"/>
          <w:b w:val="false"/>
          <w:bCs w:val="false"/>
          <w:color w:val="1A2E35"/>
          <w:sz w:val="22"/>
          <w:szCs w:val="22"/>
        </w:rPr>
        <w:t xml:space="preserve">I write to provide a factual update to the existing DEL complaint file concerning BCEA and UIF compliance failures at Medscheme Holdings (Pty) Ltd, a wholly owned subsidiary of AfroCentric Investment Corporation Limited.</w:t>
      </w:r>
    </w:p>
    <w:p>
      <w:pPr>
        <w:spacing w:before="200" w:after="80"/>
      </w:pPr>
      <w:r>
        <w:rPr>
          <w:rFonts w:ascii="Arial" w:cs="Arial" w:eastAsia="Arial" w:hAnsi="Arial"/>
          <w:b/>
          <w:bCs/>
          <w:color w:val="1B7A78"/>
          <w:sz w:val="24"/>
          <w:szCs w:val="24"/>
        </w:rPr>
        <w:t xml:space="preserve">1.  HIGH COURT APPLICATION — FILED 19 MARCH 2026</w:t>
      </w:r>
    </w:p>
    <w:p>
      <w:pPr>
        <w:spacing w:before="80" w:after="80"/>
        <w:ind/>
        <w:jc w:val="both"/>
      </w:pPr>
      <w:r>
        <w:rPr>
          <w:rFonts w:ascii="Arial" w:cs="Arial" w:eastAsia="Arial" w:hAnsi="Arial"/>
          <w:b w:val="false"/>
          <w:bCs w:val="false"/>
          <w:color w:val="1A2E35"/>
          <w:sz w:val="22"/>
          <w:szCs w:val="22"/>
        </w:rPr>
        <w:t xml:space="preserve">On 19 March 2026, I filed an urgent Section 162 Director Delinquency Application with the High Court of South Africa (Western Cape Division) under Filing Reference HCGS951842. The application directly incorporates the BCEA and UIF non-compliance matters currently before the DEL as follows:</w:t>
      </w:r>
    </w:p>
    <w:p>
      <w:pPr>
        <w:spacing w:before="100" w:after="40"/>
        <w:ind w:left="360"/>
      </w:pPr>
      <w:r>
        <w:rPr>
          <w:rFonts w:ascii="Arial" w:cs="Arial" w:eastAsia="Arial" w:hAnsi="Arial"/>
          <w:b/>
          <w:bCs/>
          <w:color w:val="1A2E35"/>
          <w:sz w:val="22"/>
          <w:szCs w:val="22"/>
        </w:rPr>
        <w:t xml:space="preserve">1.1  </w:t>
      </w:r>
    </w:p>
    <w:p>
      <w:pPr>
        <w:spacing w:before="80" w:after="80"/>
        <w:ind w:left="720"/>
        <w:jc w:val="both"/>
      </w:pPr>
      <w:r>
        <w:rPr>
          <w:rFonts w:ascii="Arial" w:cs="Arial" w:eastAsia="Arial" w:hAnsi="Arial"/>
          <w:b w:val="false"/>
          <w:bCs w:val="false"/>
          <w:color w:val="1A2E35"/>
          <w:sz w:val="22"/>
          <w:szCs w:val="22"/>
        </w:rPr>
        <w:t xml:space="preserve">The unlawful payroll deduction of R14,811.77 in July 2025 — constituting 40.47% of Normal Earnings of R36,588.81 and exceeding the statutory 25% cap under Section 34(2) of the BCEA — is pleaded as a primary ground in the High Court application;</w:t>
      </w:r>
    </w:p>
    <w:p>
      <w:pPr>
        <w:spacing w:before="100" w:after="40"/>
        <w:ind w:left="360"/>
      </w:pPr>
      <w:r>
        <w:rPr>
          <w:rFonts w:ascii="Arial" w:cs="Arial" w:eastAsia="Arial" w:hAnsi="Arial"/>
          <w:b/>
          <w:bCs/>
          <w:color w:val="1A2E35"/>
          <w:sz w:val="22"/>
          <w:szCs w:val="22"/>
        </w:rPr>
        <w:t xml:space="preserve">1.2  </w:t>
      </w:r>
    </w:p>
    <w:p>
      <w:pPr>
        <w:spacing w:before="80" w:after="80"/>
        <w:ind w:left="720"/>
        <w:jc w:val="both"/>
      </w:pPr>
      <w:r>
        <w:rPr>
          <w:rFonts w:ascii="Arial" w:cs="Arial" w:eastAsia="Arial" w:hAnsi="Arial"/>
          <w:b w:val="false"/>
          <w:bCs w:val="false"/>
          <w:color w:val="1A2E35"/>
          <w:sz w:val="22"/>
          <w:szCs w:val="22"/>
        </w:rPr>
        <w:t xml:space="preserve">The forensic finding of a R8,863.15 discrepancy between the salary declared to SARS/UIF (R27,725.66) and the actual payslip Normal Earnings (R36,588.81) in July 2025 — in the same pay cycle as the unlawful deduction — is documented in the Founding Affidavit as a potential statutory misrepresentation to government authorities; and</w:t>
      </w:r>
    </w:p>
    <w:p>
      <w:pPr>
        <w:spacing w:before="100" w:after="40"/>
        <w:ind w:left="360"/>
      </w:pPr>
      <w:r>
        <w:rPr>
          <w:rFonts w:ascii="Arial" w:cs="Arial" w:eastAsia="Arial" w:hAnsi="Arial"/>
          <w:b/>
          <w:bCs/>
          <w:color w:val="1A2E35"/>
          <w:sz w:val="22"/>
          <w:szCs w:val="22"/>
        </w:rPr>
        <w:t xml:space="preserve">1.3  </w:t>
      </w:r>
    </w:p>
    <w:p>
      <w:pPr>
        <w:spacing w:before="80" w:after="80"/>
        <w:ind w:left="720"/>
        <w:jc w:val="both"/>
      </w:pPr>
      <w:r>
        <w:rPr>
          <w:rFonts w:ascii="Arial" w:cs="Arial" w:eastAsia="Arial" w:hAnsi="Arial"/>
          <w:b w:val="false"/>
          <w:bCs w:val="false"/>
          <w:color w:val="1A2E35"/>
          <w:sz w:val="22"/>
          <w:szCs w:val="22"/>
        </w:rPr>
        <w:t xml:space="preserve">The false UIF compliance evidence produced by the Respondents on 19 January 2026 — submitting August 2025 payroll data as proof of June 2025 compliance — is documented as Annexure evidence in the High Court application.</w:t>
      </w:r>
    </w:p>
    <w:p>
      <w:pPr>
        <w:spacing w:before="200" w:after="80"/>
      </w:pPr>
      <w:r>
        <w:rPr>
          <w:rFonts w:ascii="Arial" w:cs="Arial" w:eastAsia="Arial" w:hAnsi="Arial"/>
          <w:b/>
          <w:bCs/>
          <w:color w:val="1B7A78"/>
          <w:sz w:val="24"/>
          <w:szCs w:val="24"/>
        </w:rPr>
        <w:t xml:space="preserve">2.  STATUS OF DEL INTEGRATED INSPECTION</w:t>
      </w:r>
    </w:p>
    <w:p>
      <w:pPr>
        <w:spacing w:before="80" w:after="80"/>
        <w:ind/>
        <w:jc w:val="both"/>
      </w:pPr>
      <w:r>
        <w:rPr>
          <w:rFonts w:ascii="Arial" w:cs="Arial" w:eastAsia="Arial" w:hAnsi="Arial"/>
          <w:b w:val="false"/>
          <w:bCs w:val="false"/>
          <w:color w:val="1A2E35"/>
          <w:sz w:val="22"/>
          <w:szCs w:val="22"/>
        </w:rPr>
        <w:t xml:space="preserve">I note for the formal record that the Integrated Inspection instructed following my initial DEL complaint has produced no documented outcome, no communication, and no enforcement action as of 19 March 2026. This continued inaction is documented in the High Court Founding Affidavit as part of the pattern of multi-institutional failure.</w:t>
      </w:r>
    </w:p>
    <w:p>
      <w:pPr>
        <w:spacing w:before="0"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1B7A78" w:sz="4"/>
              <w:left w:val="single" w:color="1B7A78" w:sz="4"/>
              <w:bottom w:val="single" w:color="1B7A78" w:sz="4"/>
              <w:right w:val="single" w:color="1B7A78" w:sz="4"/>
            </w:tcBorders>
            <w:shd w:fill="EAF4F4" w:val="clear"/>
            <w:tcMar>
              <w:top w:type="dxa" w:w="120"/>
              <w:left w:type="dxa" w:w="200"/>
              <w:bottom w:type="dxa" w:w="120"/>
              <w:right w:type="dxa" w:w="200"/>
            </w:tcMar>
          </w:tcPr>
          <w:p>
            <w:pPr>
              <w:spacing w:before="50" w:after="50"/>
              <w:jc w:val="both"/>
            </w:pPr>
            <w:r>
              <w:rPr>
                <w:rFonts w:ascii="Arial" w:cs="Arial" w:eastAsia="Arial" w:hAnsi="Arial"/>
                <w:b/>
                <w:bCs/>
                <w:color w:val="1A2E35"/>
                <w:sz w:val="21"/>
                <w:szCs w:val="21"/>
              </w:rPr>
              <w:t xml:space="preserve">Formal Request:</w:t>
            </w:r>
          </w:p>
          <w:p>
            <w:pPr>
              <w:spacing w:before="50" w:after="50"/>
              <w:jc w:val="both"/>
            </w:pPr>
            <w:r>
              <w:rPr>
                <w:rFonts w:ascii="Arial" w:cs="Arial" w:eastAsia="Arial" w:hAnsi="Arial"/>
                <w:b w:val="false"/>
                <w:bCs w:val="false"/>
                <w:color w:val="1A2E35"/>
                <w:sz w:val="21"/>
                <w:szCs w:val="21"/>
              </w:rPr>
              <w:t xml:space="preserve"/>
            </w:r>
          </w:p>
          <w:p>
            <w:pPr>
              <w:spacing w:before="50" w:after="50"/>
              <w:jc w:val="both"/>
            </w:pPr>
            <w:r>
              <w:rPr>
                <w:rFonts w:ascii="Arial" w:cs="Arial" w:eastAsia="Arial" w:hAnsi="Arial"/>
                <w:b w:val="false"/>
                <w:bCs w:val="false"/>
                <w:color w:val="1A2E35"/>
                <w:sz w:val="21"/>
                <w:szCs w:val="21"/>
              </w:rPr>
              <w:t xml:space="preserve">I respectfully request that the DEL provide a written status update on the Integrated Inspection at its earliest convenience, as the High Court will be invited to have regard to the DEL's conduct as part of the access-to-justice context of this application.</w:t>
            </w:r>
          </w:p>
        </w:tc>
      </w:tr>
    </w:tbl>
    <w:p>
      <w:pPr>
        <w:spacing w:before="0" w:after="80"/>
      </w:pPr>
    </w:p>
    <w:p>
      <w:pPr>
        <w:spacing w:before="80" w:after="80"/>
        <w:ind/>
        <w:jc w:val="both"/>
      </w:pPr>
      <w:r>
        <w:rPr>
          <w:rFonts w:ascii="Arial" w:cs="Arial" w:eastAsia="Arial" w:hAnsi="Arial"/>
          <w:b w:val="false"/>
          <w:bCs w:val="false"/>
          <w:color w:val="1A2E35"/>
          <w:sz w:val="22"/>
          <w:szCs w:val="22"/>
        </w:rPr>
        <w:t xml:space="preserve">I remain available to provide the full High Court application bundle (Filing Reference HCGS951842) upon request.</w:t>
      </w:r>
    </w:p>
    <w:p>
      <w:pPr>
        <w:spacing w:before="0" w:after="120"/>
      </w:pPr>
    </w:p>
    <w:p>
      <w:r>
        <w:rPr>
          <w:rFonts w:ascii="Arial" w:cs="Arial" w:eastAsia="Arial" w:hAnsi="Arial"/>
          <w:color w:val="1A2E35"/>
          <w:sz w:val="22"/>
          <w:szCs w:val="22"/>
        </w:rPr>
        <w:t xml:space="preserve">Yours faithfully,</w:t>
      </w:r>
    </w:p>
    <w:p>
      <w:pPr>
        <w:spacing w:before="0" w:after="340"/>
      </w:pPr>
    </w:p>
    <w:p>
      <w:r>
        <w:rPr>
          <w:rFonts w:ascii="Arial" w:cs="Arial" w:eastAsia="Arial" w:hAnsi="Arial"/>
          <w:b/>
          <w:bCs/>
          <w:color w:val="1A2E35"/>
          <w:sz w:val="22"/>
          <w:szCs w:val="22"/>
        </w:rPr>
        <w:t xml:space="preserve">WILBUR WILLIAM MATTHEE</w:t>
      </w:r>
    </w:p>
    <w:p>
      <w:r>
        <w:rPr>
          <w:rFonts w:ascii="Arial" w:cs="Arial" w:eastAsia="Arial" w:hAnsi="Arial"/>
          <w:color w:val="1B7A78"/>
          <w:sz w:val="21"/>
          <w:szCs w:val="21"/>
        </w:rPr>
        <w:t xml:space="preserve">Founder — EthicHawks  |  Forensic Governance Architect</w:t>
      </w:r>
    </w:p>
    <w:p>
      <w:r>
        <w:rPr>
          <w:rFonts w:ascii="Arial" w:cs="Arial" w:eastAsia="Arial" w:hAnsi="Arial"/>
          <w:color w:val="1A2E35"/>
          <w:sz w:val="19"/>
          <w:szCs w:val="19"/>
        </w:rPr>
        <w:t xml:space="preserve">RN  |  BCur HMN  |  BTech General Nursing  |  PGDip Health Services Management (NQF 8)</w:t>
      </w:r>
    </w:p>
    <w:p>
      <w:pPr>
        <w:spacing w:before="0" w:after="60"/>
      </w:pPr>
    </w:p>
    <w:p>
      <w:pPr>
        <w:pBdr>
          <w:bottom w:val="single" w:color="C8942A" w:sz="6"/>
        </w:pBdr>
        <w:spacing w:before="0" w:after="0"/>
      </w:pPr>
    </w:p>
    <w:p>
      <w:pPr>
        <w:spacing w:before="0" w:after="40"/>
      </w:pPr>
    </w:p>
    <w:p>
      <w:r>
        <w:rPr>
          <w:rFonts w:ascii="Arial" w:cs="Arial" w:eastAsia="Arial" w:hAnsi="Arial"/>
          <w:color w:val="1B7A78"/>
          <w:sz w:val="18"/>
          <w:szCs w:val="18"/>
        </w:rPr>
        <w:t xml:space="preserve">info@ethichawks.co.za  |  wilburmat@gmail.com  |  Tel: 069 635 1435  |  www.ethichawks.co.za</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2026-03-19T12:17:05.929Z</dcterms:created>
  <dcterms:modified xsi:type="dcterms:W3CDTF">2026-03-19T12:17:05.929Z</dcterms:modified>
</cp:coreProperties>
</file>

<file path=docProps/custom.xml><?xml version="1.0" encoding="utf-8"?>
<Properties xmlns="http://schemas.openxmlformats.org/officeDocument/2006/custom-properties" xmlns:vt="http://schemas.openxmlformats.org/officeDocument/2006/docPropsVTypes"/>
</file>