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4"/>
          <w:szCs w:val="24"/>
        </w:rPr>
        <w:t xml:space="preserve">IN THE LABOUR COURT OF SOUTH AFRICA</w:t>
      </w:r>
    </w:p>
    <w:p>
      <w:pPr>
        <w:spacing w:after="60" w:before="60"/>
        <w:jc w:val="center"/>
      </w:pPr>
      <w:r>
        <w:rPr>
          <w:rFonts w:ascii="Times New Roman" w:cs="Times New Roman" w:eastAsia="Times New Roman" w:hAnsi="Times New Roman"/>
          <w:b/>
          <w:bCs/>
          <w:sz w:val="24"/>
          <w:szCs w:val="24"/>
        </w:rPr>
        <w:t xml:space="preserve">(HELD AT CAPE TOWN)</w:t>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b/>
          <w:bCs/>
          <w:sz w:val="22"/>
          <w:szCs w:val="22"/>
        </w:rPr>
        <w:t xml:space="preserve">CASE NO: 2026-083299</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CONCURRENT CASE NO: 2026-077546</w:t>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sz w:val="22"/>
          <w:szCs w:val="22"/>
        </w:rPr>
        <w:t xml:space="preserve">In the matter between:</w:t>
      </w:r>
    </w:p>
    <w:p>
      <w:pPr>
        <w:spacing w:after="0" w:before="0"/>
      </w:pPr>
      <w:r>
        <w:rPr>
          <w:rFonts w:ascii="Times New Roman" w:cs="Times New Roman" w:eastAsia="Times New Roman" w:hAnsi="Times New Roman"/>
          <w:sz w:val="22"/>
          <w:szCs w:val="22"/>
        </w:rPr>
        <w:t xml:space="preserve"/>
      </w:r>
    </w:p>
    <w:p>
      <w:pPr>
        <w:spacing w:after="0" w:before="60"/>
        <w:jc w:val="center"/>
      </w:pPr>
      <w:r>
        <w:rPr>
          <w:rFonts w:ascii="Times New Roman" w:cs="Times New Roman" w:eastAsia="Times New Roman" w:hAnsi="Times New Roman"/>
          <w:b/>
          <w:bCs/>
          <w:sz w:val="22"/>
          <w:szCs w:val="22"/>
        </w:rPr>
        <w:t xml:space="preserve">WILBUR WILLIAM MATTHEE</w:t>
      </w:r>
    </w:p>
    <w:p>
      <w:pPr>
        <w:spacing w:after="60" w:before="60"/>
        <w:jc w:val="center"/>
      </w:pPr>
      <w:r>
        <w:rPr>
          <w:rFonts w:ascii="Times New Roman" w:cs="Times New Roman" w:eastAsia="Times New Roman" w:hAnsi="Times New Roman"/>
          <w:i/>
          <w:iCs/>
          <w:sz w:val="22"/>
          <w:szCs w:val="22"/>
        </w:rPr>
        <w:t xml:space="preserve">(Plaintiff / Applicant)</w:t>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sz w:val="22"/>
          <w:szCs w:val="22"/>
        </w:rPr>
        <w:t xml:space="preserve">and</w:t>
      </w:r>
    </w:p>
    <w:p>
      <w:pPr>
        <w:spacing w:after="0" w:before="0"/>
      </w:pPr>
      <w:r>
        <w:rPr>
          <w:rFonts w:ascii="Times New Roman" w:cs="Times New Roman" w:eastAsia="Times New Roman" w:hAnsi="Times New Roman"/>
          <w:sz w:val="22"/>
          <w:szCs w:val="22"/>
        </w:rPr>
        <w:t xml:space="preserve"/>
      </w:r>
    </w:p>
    <w:p>
      <w:pPr>
        <w:spacing w:after="0" w:before="60"/>
        <w:jc w:val="center"/>
      </w:pPr>
      <w:r>
        <w:rPr>
          <w:rFonts w:ascii="Times New Roman" w:cs="Times New Roman" w:eastAsia="Times New Roman" w:hAnsi="Times New Roman"/>
          <w:b/>
          <w:bCs/>
          <w:sz w:val="22"/>
          <w:szCs w:val="22"/>
        </w:rPr>
        <w:t xml:space="preserve">AFROCENTRIC HEALTH (PTY) LTD</w:t>
      </w:r>
    </w:p>
    <w:p>
      <w:pPr>
        <w:spacing w:after="0" w:before="0"/>
        <w:jc w:val="center"/>
      </w:pPr>
      <w:r>
        <w:rPr>
          <w:rFonts w:ascii="Times New Roman" w:cs="Times New Roman" w:eastAsia="Times New Roman" w:hAnsi="Times New Roman"/>
          <w:b/>
          <w:bCs/>
          <w:sz w:val="22"/>
          <w:szCs w:val="22"/>
        </w:rPr>
        <w:t xml:space="preserve">(Registration No: 1996/009540/07)</w:t>
      </w:r>
    </w:p>
    <w:p>
      <w:pPr>
        <w:spacing w:after="60" w:before="60"/>
        <w:jc w:val="center"/>
      </w:pPr>
      <w:r>
        <w:rPr>
          <w:rFonts w:ascii="Times New Roman" w:cs="Times New Roman" w:eastAsia="Times New Roman" w:hAnsi="Times New Roman"/>
          <w:i/>
          <w:iCs/>
          <w:sz w:val="22"/>
          <w:szCs w:val="22"/>
        </w:rPr>
        <w:t xml:space="preserve">(First Defendant / Respondent)</w:t>
      </w:r>
    </w:p>
    <w:p>
      <w:pPr>
        <w:spacing w:after="0" w:before="0"/>
      </w:pPr>
      <w:r>
        <w:rPr>
          <w:rFonts w:ascii="Times New Roman" w:cs="Times New Roman" w:eastAsia="Times New Roman" w:hAnsi="Times New Roman"/>
          <w:sz w:val="22"/>
          <w:szCs w:val="22"/>
        </w:rPr>
        <w:t xml:space="preserve"/>
      </w:r>
    </w:p>
    <w:p>
      <w:pPr>
        <w:spacing w:after="0" w:before="60"/>
        <w:jc w:val="center"/>
      </w:pPr>
      <w:r>
        <w:rPr>
          <w:rFonts w:ascii="Times New Roman" w:cs="Times New Roman" w:eastAsia="Times New Roman" w:hAnsi="Times New Roman"/>
          <w:b/>
          <w:bCs/>
          <w:sz w:val="22"/>
          <w:szCs w:val="22"/>
        </w:rPr>
        <w:t xml:space="preserve">MEDSCHEME HOLDINGS (PTY) LTD</w:t>
      </w:r>
    </w:p>
    <w:p>
      <w:pPr>
        <w:spacing w:after="60" w:before="60"/>
        <w:jc w:val="center"/>
      </w:pPr>
      <w:r>
        <w:rPr>
          <w:rFonts w:ascii="Times New Roman" w:cs="Times New Roman" w:eastAsia="Times New Roman" w:hAnsi="Times New Roman"/>
          <w:i/>
          <w:iCs/>
          <w:sz w:val="22"/>
          <w:szCs w:val="22"/>
        </w:rPr>
        <w:t xml:space="preserve">(Second Defendant / Respondent)</w:t>
      </w:r>
    </w:p>
    <w:p>
      <w:pPr>
        <w:spacing w:after="0" w:before="0"/>
      </w:pPr>
      <w:r>
        <w:rPr>
          <w:rFonts w:ascii="Times New Roman" w:cs="Times New Roman" w:eastAsia="Times New Roman" w:hAnsi="Times New Roman"/>
          <w:sz w:val="22"/>
          <w:szCs w:val="22"/>
        </w:rPr>
        <w:t xml:space="preserve"/>
      </w:r>
    </w:p>
    <w:p>
      <w:pPr>
        <w:pBdr>
          <w:bottom w:val="single" w:color="000000" w:sz="4" w:space="1"/>
        </w:pBdr>
        <w:spacing w:after="120" w:before="12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b/>
          <w:bCs/>
          <w:sz w:val="24"/>
          <w:szCs w:val="24"/>
        </w:rPr>
        <w:t xml:space="preserve">PLAINTIFF'S REPLICATION TO THE DEFENDANTS' STATEMENT OF RESPONSE</w:t>
      </w:r>
    </w:p>
    <w:p>
      <w:pPr>
        <w:spacing w:after="0" w:before="0"/>
      </w:pPr>
      <w:r>
        <w:rPr>
          <w:rFonts w:ascii="Times New Roman" w:cs="Times New Roman" w:eastAsia="Times New Roman" w:hAnsi="Times New Roman"/>
          <w:sz w:val="22"/>
          <w:szCs w:val="22"/>
        </w:rPr>
        <w:t xml:space="preserve"/>
      </w:r>
    </w:p>
    <w:p>
      <w:pPr>
        <w:pBdr>
          <w:bottom w:val="single" w:color="000000" w:sz="4" w:space="1"/>
        </w:pBdr>
        <w:spacing w:after="120" w:before="12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sz w:val="22"/>
          <w:szCs w:val="22"/>
        </w:rPr>
        <w:t xml:space="preserve">The Plaintiff, appearing in person, hereby replies as follows to the Defendants' Statement of Response dated 19 May 2026:</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1. THE THRESHOLD SPECIAL DEFENCE: PLEADING A NULLITY AND CORPORATE IDENTITY MISREPRESENTATION</w:t>
      </w:r>
    </w:p>
    <w:p>
      <w:pPr>
        <w:spacing w:after="120" w:before="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The First Defendant explicitly cited by the Plaintiff in these proceedings is </w:t>
      </w:r>
      <w:r>
        <w:rPr>
          <w:rFonts w:ascii="Times New Roman" w:cs="Times New Roman" w:eastAsia="Times New Roman" w:hAnsi="Times New Roman"/>
          <w:b/>
          <w:bCs/>
          <w:sz w:val="22"/>
          <w:szCs w:val="22"/>
        </w:rPr>
        <w:t xml:space="preserve">AFROCENTRIC HEALTH (PTY) LTD</w:t>
      </w:r>
      <w:r>
        <w:rPr>
          <w:rFonts w:ascii="Times New Roman" w:cs="Times New Roman" w:eastAsia="Times New Roman" w:hAnsi="Times New Roman"/>
          <w:sz w:val="22"/>
          <w:szCs w:val="22"/>
        </w:rPr>
        <w:t xml:space="preserve"> (Registration Number: 1996/009540/07).</w:t>
      </w:r>
    </w:p>
    <w:p>
      <w:pPr>
        <w:spacing w:after="120" w:before="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The Statement of Response filed on 19 May 2026 is signed by Mr. Vijay Makenjee, who explicitly purports to execute the signature block on page 7 </w:t>
      </w:r>
      <w:r>
        <w:rPr>
          <w:rFonts w:ascii="Times New Roman" w:cs="Times New Roman" w:eastAsia="Times New Roman" w:hAnsi="Times New Roman"/>
          <w:i/>
          <w:iCs/>
          <w:sz w:val="22"/>
          <w:szCs w:val="22"/>
        </w:rPr>
        <w:t xml:space="preserve">"obo AFROCENTRIC RF (PTY) LTD"</w:t>
      </w:r>
      <w:r>
        <w:rPr>
          <w:rFonts w:ascii="Times New Roman" w:cs="Times New Roman" w:eastAsia="Times New Roman" w:hAnsi="Times New Roman"/>
          <w:sz w:val="22"/>
          <w:szCs w:val="22"/>
        </w:rPr>
        <w:t xml:space="preserve">.</w:t>
      </w:r>
    </w:p>
    <w:p>
      <w:pPr>
        <w:spacing w:after="120" w:before="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AFROCENTRIC RF (PTY) LTD</w:t>
      </w:r>
      <w:r>
        <w:rPr>
          <w:rFonts w:ascii="Times New Roman" w:cs="Times New Roman" w:eastAsia="Times New Roman" w:hAnsi="Times New Roman"/>
          <w:sz w:val="22"/>
          <w:szCs w:val="22"/>
        </w:rPr>
        <w:t xml:space="preserve"> is a completely separate legal entity and is not a cited party to these proceedings. A corporate official cannot legally enter a plea or defence on behalf of an un-cited corporate entity to answer dynamic statutory and common-law claims levied against an entirely different subsidiary.</w:t>
      </w:r>
    </w:p>
    <w:p>
      <w:pPr>
        <w:spacing w:after="120" w:before="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Furthermore, the Statement of Response is fundamentally fatal as it stands completely devoid of a </w:t>
      </w:r>
      <w:r>
        <w:rPr>
          <w:rFonts w:ascii="Times New Roman" w:cs="Times New Roman" w:eastAsia="Times New Roman" w:hAnsi="Times New Roman"/>
          <w:b/>
          <w:bCs/>
          <w:sz w:val="22"/>
          <w:szCs w:val="22"/>
        </w:rPr>
        <w:t xml:space="preserve">Verifying Affidavit</w:t>
      </w:r>
      <w:r>
        <w:rPr>
          <w:rFonts w:ascii="Times New Roman" w:cs="Times New Roman" w:eastAsia="Times New Roman" w:hAnsi="Times New Roman"/>
          <w:sz w:val="22"/>
          <w:szCs w:val="22"/>
        </w:rPr>
        <w:t xml:space="preserve"> under oath. Rule 6 of the Labour Court Rules mandates that a Statement of Response must be verified under oath by a designated corporate officer possessing direct, first-hand personal knowledge of the operational facts.</w:t>
      </w:r>
    </w:p>
    <w:p>
      <w:pPr>
        <w:spacing w:after="120" w:before="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In its current form, the document represents nothing more than an unsworn piece of paper signed on behalf of an outside entity. It constitutes a procedural nullity, fails to place any admissible evidence before this Honourable Court, and must be struck out in its entirety.</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2. FATAL SELECTIVE SILENCE AND IMPLIED ADMISSIONS OF OCCUPATIONAL DETRIMENT</w:t>
      </w:r>
    </w:p>
    <w:p>
      <w:pPr>
        <w:spacing w:after="120" w:before="0"/>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The Plaintiff notes that the Defendants' Statement of Response consists of blanket, superficial denials and retreats into total, calculated silence on material factual averments that form the absolute core of the Plaintiff's claim of an intolerable work environment and occupational detriment.</w:t>
      </w:r>
    </w:p>
    <w:p>
      <w:pPr>
        <w:spacing w:after="120" w:before="0"/>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Under the rules of pleading and the established jurisprudence of South African courts, allegations of fact that are not specifically denied, engaged with, or meaningfully answered by a respondent are deemed to be admitted as a matter of law.</w:t>
      </w:r>
    </w:p>
    <w:p>
      <w:pPr>
        <w:spacing w:after="120" w:before="0"/>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The "Wilma Incident" Silence: </w:t>
      </w:r>
      <w:r>
        <w:rPr>
          <w:rFonts w:ascii="Times New Roman" w:cs="Times New Roman" w:eastAsia="Times New Roman" w:hAnsi="Times New Roman"/>
          <w:sz w:val="22"/>
          <w:szCs w:val="22"/>
        </w:rPr>
        <w:t xml:space="preserve">The Defendants completely fail to address, deny, or answer the specific, documented operational incidents involving Wilma, which directly initiated the targeted psychological hostility, workplace gaslighting, and systematic isolation faced by the Plaintiff.</w:t>
      </w:r>
    </w:p>
    <w:p>
      <w:pPr>
        <w:spacing w:after="120" w:before="0"/>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The 30+ Day Executive Silence: </w:t>
      </w:r>
      <w:r>
        <w:rPr>
          <w:rFonts w:ascii="Times New Roman" w:cs="Times New Roman" w:eastAsia="Times New Roman" w:hAnsi="Times New Roman"/>
          <w:sz w:val="22"/>
          <w:szCs w:val="22"/>
        </w:rPr>
        <w:t xml:space="preserve">The Defendants fail to provide any legal, operational, or contractual justification for the prolonged period of more than 30 days of total administrative and corporate silence following the Plaintiff's formal escalation of critical workplace grievances. This complete abandonment of internal dispute resolution mechanisms objectively demonstrated to the Plaintiff that no internal remedy was available and that the employment relationship had been broken by management.</w:t>
      </w:r>
    </w:p>
    <w:p>
      <w:pPr>
        <w:spacing w:after="120" w:before="0"/>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The CEO's Confidentiality Breach: </w:t>
      </w:r>
      <w:r>
        <w:rPr>
          <w:rFonts w:ascii="Times New Roman" w:cs="Times New Roman" w:eastAsia="Times New Roman" w:hAnsi="Times New Roman"/>
          <w:sz w:val="22"/>
          <w:szCs w:val="22"/>
        </w:rPr>
        <w:t xml:space="preserve">The Defendants offer no denial, counter-narrative, or explanation regarding the severe breach of confidentiality committed by the Group Chief Executive Officer, who compromised the integrity of the Plaintiff's protected escalations.</w:t>
      </w:r>
    </w:p>
    <w:p>
      <w:pPr>
        <w:spacing w:after="120" w:before="0"/>
        <w:jc w:val="both"/>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By retreating into selective silence on these pivotal statutory and constitutional violations, the Defendants have failed to establish a triable issue on whether they created an intolerable workplace. Their calculated silence stands as an implied admission of the operational toxicity that forced the Plaintiff's constructive dismissal.</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3. DEMONSTRABLE PERJURY AND JURISDICTIONAL DECEPTION (THE CASE NUMBER COLLISION)</w:t>
      </w:r>
    </w:p>
    <w:p>
      <w:pPr>
        <w:spacing w:after="120" w:before="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 4 (Ad Para 6 of Part A)</w:t>
      </w:r>
      <w:r>
        <w:rPr>
          <w:rFonts w:ascii="Times New Roman" w:cs="Times New Roman" w:eastAsia="Times New Roman" w:hAnsi="Times New Roman"/>
          <w:sz w:val="22"/>
          <w:szCs w:val="22"/>
        </w:rPr>
        <w:t xml:space="preserve"> of their Statement of Response, signed by Vijay Makenjee on 19 May 2026, the Defendants state under oath:</w:t>
      </w:r>
    </w:p>
    <w:p>
      <w:pPr>
        <w:pBdr>
          <w:left w:val="single" w:color="555555" w:sz="6" w:space="10"/>
        </w:pBdr>
        <w:spacing w:after="120" w:before="120"/>
        <w:ind w:left="720" w:right="720"/>
        <w:jc w:val="both"/>
      </w:pPr>
      <w:r>
        <w:rPr>
          <w:rFonts w:ascii="Times New Roman" w:cs="Times New Roman" w:eastAsia="Times New Roman" w:hAnsi="Times New Roman"/>
          <w:i/>
          <w:iCs/>
          <w:sz w:val="22"/>
          <w:szCs w:val="22"/>
        </w:rPr>
        <w:t xml:space="preserve">"The Defendants are not aware of any further claim in the above honorable court with case number 2026-077546."</w:t>
      </w:r>
    </w:p>
    <w:p>
      <w:pPr>
        <w:spacing w:after="120" w:before="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This statement is factually false, fraudulent, and constitutes a clear attempt to commit perjury to mislead this Honourable Court.</w:t>
      </w:r>
    </w:p>
    <w:p>
      <w:pPr>
        <w:spacing w:after="120" w:before="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On </w:t>
      </w:r>
      <w:r>
        <w:rPr>
          <w:rFonts w:ascii="Times New Roman" w:cs="Times New Roman" w:eastAsia="Times New Roman" w:hAnsi="Times New Roman"/>
          <w:b/>
          <w:bCs/>
          <w:sz w:val="22"/>
          <w:szCs w:val="22"/>
        </w:rPr>
        <w:t xml:space="preserve">16 April 2026</w:t>
      </w:r>
      <w:r>
        <w:rPr>
          <w:rFonts w:ascii="Times New Roman" w:cs="Times New Roman" w:eastAsia="Times New Roman" w:hAnsi="Times New Roman"/>
          <w:sz w:val="22"/>
          <w:szCs w:val="22"/>
        </w:rPr>
        <w:t xml:space="preserve">, in parallel urgent proceedings before the Western Cape High Court (Case No: 2026-086906), the Group Chief Executive Officer of the Applicant's parent corporate structure, </w:t>
      </w:r>
      <w:r>
        <w:rPr>
          <w:rFonts w:ascii="Times New Roman" w:cs="Times New Roman" w:eastAsia="Times New Roman" w:hAnsi="Times New Roman"/>
          <w:b/>
          <w:bCs/>
          <w:sz w:val="22"/>
          <w:szCs w:val="22"/>
        </w:rPr>
        <w:t xml:space="preserve">GERALD NEVILLE VAN WYK</w:t>
      </w:r>
      <w:r>
        <w:rPr>
          <w:rFonts w:ascii="Times New Roman" w:cs="Times New Roman" w:eastAsia="Times New Roman" w:hAnsi="Times New Roman"/>
          <w:sz w:val="22"/>
          <w:szCs w:val="22"/>
        </w:rPr>
        <w:t xml:space="preserve">, deposed to a Founding Affidavit under oath. In those High Court proceedings, the Group CEO explicitly acknowledged the existence of the dynamic statutory and financial disputes regarding the Plaintiff's remuneration and represented that the corporate structure intended to defend </w:t>
      </w:r>
      <w:r>
        <w:rPr>
          <w:rFonts w:ascii="Times New Roman" w:cs="Times New Roman" w:eastAsia="Times New Roman" w:hAnsi="Times New Roman"/>
          <w:i/>
          <w:iCs/>
          <w:sz w:val="22"/>
          <w:szCs w:val="22"/>
        </w:rPr>
        <w:t xml:space="preserve">both</w:t>
      </w:r>
      <w:r>
        <w:rPr>
          <w:rFonts w:ascii="Times New Roman" w:cs="Times New Roman" w:eastAsia="Times New Roman" w:hAnsi="Times New Roman"/>
          <w:sz w:val="22"/>
          <w:szCs w:val="22"/>
        </w:rPr>
        <w:t xml:space="preserve"> specialised actions before the Labour Court.</w:t>
      </w:r>
    </w:p>
    <w:p>
      <w:pPr>
        <w:spacing w:after="120" w:before="0"/>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Furthermore, the Plaintiff's specialised Application for Repayment of Unlawfully Recovered Remuneration under </w:t>
      </w:r>
      <w:r>
        <w:rPr>
          <w:rFonts w:ascii="Times New Roman" w:cs="Times New Roman" w:eastAsia="Times New Roman" w:hAnsi="Times New Roman"/>
          <w:b/>
          <w:bCs/>
          <w:sz w:val="22"/>
          <w:szCs w:val="22"/>
        </w:rPr>
        <w:t xml:space="preserve">Case No: 2026-077546</w:t>
      </w:r>
      <w:r>
        <w:rPr>
          <w:rFonts w:ascii="Times New Roman" w:cs="Times New Roman" w:eastAsia="Times New Roman" w:hAnsi="Times New Roman"/>
          <w:sz w:val="22"/>
          <w:szCs w:val="22"/>
        </w:rPr>
        <w:t xml:space="preserve"> was formally served via electronic mail directly upon the Group Company Secretary and Head of Legal Counsel, </w:t>
      </w:r>
      <w:r>
        <w:rPr>
          <w:rFonts w:ascii="Times New Roman" w:cs="Times New Roman" w:eastAsia="Times New Roman" w:hAnsi="Times New Roman"/>
          <w:b/>
          <w:bCs/>
          <w:sz w:val="22"/>
          <w:szCs w:val="22"/>
        </w:rPr>
        <w:t xml:space="preserve">Lebohang Shadi Matsipa Mpumlwana</w:t>
      </w:r>
      <w:r>
        <w:rPr>
          <w:rFonts w:ascii="Times New Roman" w:cs="Times New Roman" w:eastAsia="Times New Roman" w:hAnsi="Times New Roman"/>
          <w:sz w:val="22"/>
          <w:szCs w:val="22"/>
        </w:rPr>
        <w:t xml:space="preserve">, on </w:t>
      </w:r>
      <w:r>
        <w:rPr>
          <w:rFonts w:ascii="Times New Roman" w:cs="Times New Roman" w:eastAsia="Times New Roman" w:hAnsi="Times New Roman"/>
          <w:b/>
          <w:bCs/>
          <w:sz w:val="22"/>
          <w:szCs w:val="22"/>
        </w:rPr>
        <w:t xml:space="preserve">13 April 2026 at 22:03</w:t>
      </w:r>
      <w:r>
        <w:rPr>
          <w:rFonts w:ascii="Times New Roman" w:cs="Times New Roman" w:eastAsia="Times New Roman" w:hAnsi="Times New Roman"/>
          <w:sz w:val="22"/>
          <w:szCs w:val="22"/>
        </w:rPr>
        <w:t xml:space="preserve">. The automated electronic delivery tracking and read receipts confirm that executive corporate legal counsel received and opened the application bundle weeks prior to the filing of this Response.</w:t>
      </w:r>
    </w:p>
    <w:p>
      <w:pPr>
        <w:spacing w:after="120" w:before="0"/>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For the Defendants to subsequently assert under oath on 19 May 2026 that they </w:t>
      </w:r>
      <w:r>
        <w:rPr>
          <w:rFonts w:ascii="Times New Roman" w:cs="Times New Roman" w:eastAsia="Times New Roman" w:hAnsi="Times New Roman"/>
          <w:i/>
          <w:iCs/>
          <w:sz w:val="22"/>
          <w:szCs w:val="22"/>
        </w:rPr>
        <w:t xml:space="preserve">"are not aware"</w:t>
      </w:r>
      <w:r>
        <w:rPr>
          <w:rFonts w:ascii="Times New Roman" w:cs="Times New Roman" w:eastAsia="Times New Roman" w:hAnsi="Times New Roman"/>
          <w:sz w:val="22"/>
          <w:szCs w:val="22"/>
        </w:rPr>
        <w:t xml:space="preserve"> of Case No: 2026-077546 is a bad-faith deception. The corporate entity is attempting to play blind in the Labour Court to avoid default consequences, directly contradicting the sworn acknowledgments made by its own Group CEO in the High Court. By failing to enter a legitimate appearance to defend Case No: 2026-077546 within the mandatory 10-day statutory period, the material facts within that file stand completely unopposed and ripe for adjudication.</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4. THE UNCONTRADICTED STATUTORY CEILING VIOLATION, FACTUAL MISREPRESENTATION, AND MALICIOUS POLICY VIOLATION (THE RETROSPECTIVE JULY DECEPTIONS)</w:t>
      </w:r>
    </w:p>
    <w:p>
      <w:pPr>
        <w:spacing w:after="120" w:before="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 2 (Ad Para 1 to 5 of Part A)</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Paragraph 28</w:t>
      </w:r>
      <w:r>
        <w:rPr>
          <w:rFonts w:ascii="Times New Roman" w:cs="Times New Roman" w:eastAsia="Times New Roman" w:hAnsi="Times New Roman"/>
          <w:sz w:val="22"/>
          <w:szCs w:val="22"/>
        </w:rPr>
        <w:t xml:space="preserve"> of their Statement of Response, the Defendants state under oath:</w:t>
      </w:r>
    </w:p>
    <w:p>
      <w:pPr>
        <w:pBdr>
          <w:left w:val="single" w:color="555555" w:sz="6" w:space="10"/>
        </w:pBdr>
        <w:spacing w:after="120" w:before="120"/>
        <w:ind w:left="720" w:right="720"/>
        <w:jc w:val="both"/>
      </w:pPr>
      <w:r>
        <w:rPr>
          <w:rFonts w:ascii="Times New Roman" w:cs="Times New Roman" w:eastAsia="Times New Roman" w:hAnsi="Times New Roman"/>
          <w:i/>
          <w:iCs/>
          <w:sz w:val="22"/>
          <w:szCs w:val="22"/>
        </w:rPr>
        <w:t xml:space="preserve">"The Plaintiff was on sick leave but had exhausted annual and sick leave. The principle of no work, no pay applied."
"The Defendants maintain that the Plaintiff's July 2025 salary aligned to the days worked in July 2025..."</w:t>
      </w:r>
    </w:p>
    <w:p>
      <w:pPr>
        <w:spacing w:after="120" w:before="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The Plaintiff avers that this statement is bad in law and constitutes a flagrant factual misrepresentation explicitly designed to mislead this Honourable Court.</w:t>
      </w:r>
    </w:p>
    <w:p>
      <w:pPr>
        <w:spacing w:after="120" w:before="0"/>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The Defendants assert that the July 2025 salary reduction was an automatic operational </w:t>
      </w:r>
      <w:r>
        <w:rPr>
          <w:rFonts w:ascii="Times New Roman" w:cs="Times New Roman" w:eastAsia="Times New Roman" w:hAnsi="Times New Roman"/>
          <w:i/>
          <w:iCs/>
          <w:sz w:val="22"/>
          <w:szCs w:val="22"/>
        </w:rPr>
        <w:t xml:space="preserve">"alignment to days worked in July 2025."</w:t>
      </w:r>
      <w:r>
        <w:rPr>
          <w:rFonts w:ascii="Times New Roman" w:cs="Times New Roman" w:eastAsia="Times New Roman" w:hAnsi="Times New Roman"/>
          <w:sz w:val="22"/>
          <w:szCs w:val="22"/>
        </w:rPr>
        <w:t xml:space="preserve"> This is mathematically and operationally impossible. The Plaintiff's minor, documented absences in July 2025 consisted strictly of 1 to 3 isolated days utilised to attend medical appointments following his discharge from hospital.</w:t>
      </w:r>
    </w:p>
    <w:p>
      <w:pPr>
        <w:spacing w:after="120" w:before="0"/>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Had the Defendants genuinely applied a live, real-time </w:t>
      </w:r>
      <w:r>
        <w:rPr>
          <w:rFonts w:ascii="Times New Roman" w:cs="Times New Roman" w:eastAsia="Times New Roman" w:hAnsi="Times New Roman"/>
          <w:i/>
          <w:iCs/>
          <w:sz w:val="22"/>
          <w:szCs w:val="22"/>
        </w:rPr>
        <w:t xml:space="preserve">"no work, no pay"</w:t>
      </w:r>
      <w:r>
        <w:rPr>
          <w:rFonts w:ascii="Times New Roman" w:cs="Times New Roman" w:eastAsia="Times New Roman" w:hAnsi="Times New Roman"/>
          <w:sz w:val="22"/>
          <w:szCs w:val="22"/>
        </w:rPr>
        <w:t xml:space="preserve"> alignment strictly for the days missed in July 2025, the total operational deduction would have been limited to a minor fraction of his earnings (representing approximately 1 to 3 daily operational units).</w:t>
      </w:r>
    </w:p>
    <w:p>
      <w:pPr>
        <w:spacing w:after="120" w:before="0"/>
        <w:jc w:val="both"/>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Instead, the Defendants processed a massive, destructive extraction totalling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The sheer volume of this extraction demonstrates that the July 2025 payslip was weaponised to execute a retrospective clawback for historical, disputed days stretching back into the preceding months of May and June 2025.</w:t>
      </w:r>
    </w:p>
    <w:p>
      <w:pPr>
        <w:spacing w:after="120" w:before="0"/>
        <w:jc w:val="both"/>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The true operational context of this extraction demonstrates malice. Immediately upon the Plaintiff's physical discharge and return to work from a registered Mental Health Institution (where he was treated for severe PTSD and depression), the Second Defendant's management aggressively bypassed a humane, structured back-to-work reintegration. Instead of allowing the Plaintiff a reasonable window to resettle into his occupational functions, management immediately forced an adversarial meeting to confront him.</w:t>
      </w:r>
    </w:p>
    <w:p>
      <w:pPr>
        <w:spacing w:after="120" w:before="0"/>
        <w:jc w:val="both"/>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During this meeting, the Plaintiff was brutally honest regarding his acute psychiatric vulnerability, his financial constraints, and his desperate need for structural stability. In response to this medical disclosure, the Second Defendant's manager issued a hostile follow-up electronic mail message actively misrepresenting corporate protocols, stating: </w:t>
      </w:r>
      <w:r>
        <w:rPr>
          <w:rFonts w:ascii="Times New Roman" w:cs="Times New Roman" w:eastAsia="Times New Roman" w:hAnsi="Times New Roman"/>
          <w:i/>
          <w:iCs/>
          <w:sz w:val="22"/>
          <w:szCs w:val="22"/>
        </w:rPr>
        <w:t xml:space="preserve">"We don't allow staggering. We are not a loan company."</w:t>
      </w:r>
    </w:p>
    <w:p>
      <w:pPr>
        <w:spacing w:after="120" w:before="0"/>
        <w:jc w:val="both"/>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The statement that the corporate structure </w:t>
      </w:r>
      <w:r>
        <w:rPr>
          <w:rFonts w:ascii="Times New Roman" w:cs="Times New Roman" w:eastAsia="Times New Roman" w:hAnsi="Times New Roman"/>
          <w:i/>
          <w:iCs/>
          <w:sz w:val="22"/>
          <w:szCs w:val="22"/>
        </w:rPr>
        <w:t xml:space="preserve">"does not allow staggering"</w:t>
      </w:r>
      <w:r>
        <w:rPr>
          <w:rFonts w:ascii="Times New Roman" w:cs="Times New Roman" w:eastAsia="Times New Roman" w:hAnsi="Times New Roman"/>
          <w:sz w:val="22"/>
          <w:szCs w:val="22"/>
        </w:rPr>
        <w:t xml:space="preserve"> is a demonstrable, written deception. The Defendants' own operative Human Capital Business Partner (HCBP) Policy explicitly mandates that any payroll corrections or historical leave recoveries must be handled via a structured consultation process, with an express provision allowing for staggered recoveries over multiple pay cycles to preserve an employee's basic livelihood.</w:t>
      </w:r>
    </w:p>
    <w:p>
      <w:pPr>
        <w:spacing w:after="120" w:before="0"/>
        <w:jc w:val="both"/>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By attempting to disguise a massive, retrospective historical clawback as a real-time current-month alignment, and by deploying a hostile administrative narrative (</w:t>
      </w:r>
      <w:r>
        <w:rPr>
          <w:rFonts w:ascii="Times New Roman" w:cs="Times New Roman" w:eastAsia="Times New Roman" w:hAnsi="Times New Roman"/>
          <w:i/>
          <w:iCs/>
          <w:sz w:val="22"/>
          <w:szCs w:val="22"/>
        </w:rPr>
        <w:t xml:space="preserve">"we are not a loan company"</w:t>
      </w:r>
      <w:r>
        <w:rPr>
          <w:rFonts w:ascii="Times New Roman" w:cs="Times New Roman" w:eastAsia="Times New Roman" w:hAnsi="Times New Roman"/>
          <w:sz w:val="22"/>
          <w:szCs w:val="22"/>
        </w:rPr>
        <w:t xml:space="preserve">) to deny a vulnerable employee the protection of their own internal policy, the Defendants have exposed the targeted, retaliatory nature of their payroll administration.</w:t>
      </w:r>
    </w:p>
    <w:p>
      <w:pPr>
        <w:spacing w:after="120" w:before="0"/>
        <w:jc w:val="both"/>
      </w:pPr>
      <w:r>
        <w:rPr>
          <w:rFonts w:ascii="Times New Roman" w:cs="Times New Roman" w:eastAsia="Times New Roman" w:hAnsi="Times New Roman"/>
          <w:b/>
          <w:bCs/>
          <w:sz w:val="22"/>
          <w:szCs w:val="22"/>
        </w:rPr>
        <w:t xml:space="preserve">4.10  </w:t>
      </w:r>
      <w:r>
        <w:rPr>
          <w:rFonts w:ascii="Times New Roman" w:cs="Times New Roman" w:eastAsia="Times New Roman" w:hAnsi="Times New Roman"/>
          <w:sz w:val="22"/>
          <w:szCs w:val="22"/>
        </w:rPr>
        <w:t xml:space="preserve">Even if the Defendants mistakenly believed they possessed a unilateral right to recover historical days from May and June, they were strictly bound by Section 34 of the Basic Conditions of Employment Act 75 of 1997 ("BCEA"). Section 34(1) strictly prohibits any reduction from an employee's remuneration without express written consent. The Plaintiff at no stage provided written consent for this financial extraction.</w:t>
      </w:r>
    </w:p>
    <w:p>
      <w:pPr>
        <w:spacing w:after="120" w:before="0"/>
        <w:jc w:val="both"/>
      </w:pPr>
      <w:r>
        <w:rPr>
          <w:rFonts w:ascii="Times New Roman" w:cs="Times New Roman" w:eastAsia="Times New Roman" w:hAnsi="Times New Roman"/>
          <w:b/>
          <w:bCs/>
          <w:sz w:val="22"/>
          <w:szCs w:val="22"/>
        </w:rPr>
        <w:t xml:space="preserve">4.11  </w:t>
      </w:r>
      <w:r>
        <w:rPr>
          <w:rFonts w:ascii="Times New Roman" w:cs="Times New Roman" w:eastAsia="Times New Roman" w:hAnsi="Times New Roman"/>
          <w:sz w:val="22"/>
          <w:szCs w:val="22"/>
        </w:rPr>
        <w:t xml:space="preserve">Crucially, Section 34(2) of the BCEA establishes an absolute statutory ceiling, explicitly dictating that even where a retrospective recovery is legally permissible to correct an operational leave balance or overpayment, the total aggregate amount of the reduction </w:t>
      </w:r>
      <w:r>
        <w:rPr>
          <w:rFonts w:ascii="Times New Roman" w:cs="Times New Roman" w:eastAsia="Times New Roman" w:hAnsi="Times New Roman"/>
          <w:b/>
          <w:bCs/>
          <w:sz w:val="22"/>
          <w:szCs w:val="22"/>
        </w:rPr>
        <w:t xml:space="preserve">may not exceed one-quarter (25%)</w:t>
      </w:r>
      <w:r>
        <w:rPr>
          <w:rFonts w:ascii="Times New Roman" w:cs="Times New Roman" w:eastAsia="Times New Roman" w:hAnsi="Times New Roman"/>
          <w:sz w:val="22"/>
          <w:szCs w:val="22"/>
        </w:rPr>
        <w:t xml:space="preserve"> of the employee's gross monthly monetary remuneration.</w:t>
      </w:r>
    </w:p>
    <w:p>
      <w:pPr>
        <w:spacing w:after="120" w:before="0"/>
        <w:jc w:val="both"/>
      </w:pPr>
      <w:r>
        <w:rPr>
          <w:rFonts w:ascii="Times New Roman" w:cs="Times New Roman" w:eastAsia="Times New Roman" w:hAnsi="Times New Roman"/>
          <w:b/>
          <w:bCs/>
          <w:sz w:val="22"/>
          <w:szCs w:val="22"/>
        </w:rPr>
        <w:t xml:space="preserve">4.12  </w:t>
      </w:r>
      <w:r>
        <w:rPr>
          <w:rFonts w:ascii="Times New Roman" w:cs="Times New Roman" w:eastAsia="Times New Roman" w:hAnsi="Times New Roman"/>
          <w:sz w:val="22"/>
          <w:szCs w:val="22"/>
        </w:rPr>
        <w:t xml:space="preserve">The Plaintiff's verified July 2025 payslip reflects an unlawful configuration completely outside the boundary of the law:</w:t>
      </w:r>
    </w:p>
    <w:p>
      <w:pPr>
        <w:spacing w:after="80" w:before="0"/>
        <w:ind w:left="720" w:hanging="360"/>
        <w:jc w:val="left"/>
      </w:pPr>
      <w:r>
        <w:rPr>
          <w:rFonts w:ascii="Times New Roman" w:cs="Times New Roman" w:eastAsia="Times New Roman" w:hAnsi="Times New Roman"/>
          <w:sz w:val="22"/>
          <w:szCs w:val="22"/>
        </w:rPr>
        <w:t xml:space="preserve">•  Contractual Gross Normal Earnings:  R36,588.81</w:t>
      </w:r>
    </w:p>
    <w:p>
      <w:pPr>
        <w:spacing w:after="80" w:before="0"/>
        <w:ind w:left="720" w:hanging="360"/>
        <w:jc w:val="left"/>
      </w:pPr>
      <w:r>
        <w:rPr>
          <w:rFonts w:ascii="Times New Roman" w:cs="Times New Roman" w:eastAsia="Times New Roman" w:hAnsi="Times New Roman"/>
          <w:sz w:val="22"/>
          <w:szCs w:val="22"/>
        </w:rPr>
        <w:t xml:space="preserve">•  Retrospective Recovery Reductions:  R14,811.77</w:t>
      </w:r>
    </w:p>
    <w:p>
      <w:pPr>
        <w:spacing w:after="80" w:before="0"/>
        <w:ind w:left="720" w:hanging="360"/>
        <w:jc w:val="left"/>
      </w:pPr>
      <w:r>
        <w:rPr>
          <w:rFonts w:ascii="Times New Roman" w:cs="Times New Roman" w:eastAsia="Times New Roman" w:hAnsi="Times New Roman"/>
          <w:sz w:val="22"/>
          <w:szCs w:val="22"/>
        </w:rPr>
        <w:t xml:space="preserve">•  Effective Remuneration Reduction Percentage:  </w:t>
      </w:r>
      <w:r>
        <w:rPr>
          <w:rFonts w:ascii="Times New Roman" w:cs="Times New Roman" w:eastAsia="Times New Roman" w:hAnsi="Times New Roman"/>
          <w:b/>
          <w:bCs/>
          <w:sz w:val="22"/>
          <w:szCs w:val="22"/>
        </w:rPr>
        <w:t xml:space="preserve">40.47%</w:t>
      </w:r>
    </w:p>
    <w:p>
      <w:pPr>
        <w:spacing w:after="120" w:before="0"/>
        <w:jc w:val="both"/>
      </w:pPr>
      <w:r>
        <w:rPr>
          <w:rFonts w:ascii="Times New Roman" w:cs="Times New Roman" w:eastAsia="Times New Roman" w:hAnsi="Times New Roman"/>
          <w:b/>
          <w:bCs/>
          <w:sz w:val="22"/>
          <w:szCs w:val="22"/>
        </w:rPr>
        <w:t xml:space="preserve">4.13  </w:t>
      </w:r>
      <w:r>
        <w:rPr>
          <w:rFonts w:ascii="Times New Roman" w:cs="Times New Roman" w:eastAsia="Times New Roman" w:hAnsi="Times New Roman"/>
          <w:sz w:val="22"/>
          <w:szCs w:val="22"/>
        </w:rPr>
        <w:t xml:space="preserve">By formally admitting they executed a recovery that stripped away </w:t>
      </w:r>
      <w:r>
        <w:rPr>
          <w:rFonts w:ascii="Times New Roman" w:cs="Times New Roman" w:eastAsia="Times New Roman" w:hAnsi="Times New Roman"/>
          <w:b/>
          <w:bCs/>
          <w:sz w:val="22"/>
          <w:szCs w:val="22"/>
        </w:rPr>
        <w:t xml:space="preserve">40.47%</w:t>
      </w:r>
      <w:r>
        <w:rPr>
          <w:rFonts w:ascii="Times New Roman" w:cs="Times New Roman" w:eastAsia="Times New Roman" w:hAnsi="Times New Roman"/>
          <w:sz w:val="22"/>
          <w:szCs w:val="22"/>
        </w:rPr>
        <w:t xml:space="preserve"> of an employee's monthly livelihood in a single pay cycle — under the false pretence of a live monthly alignment, while actively lying about internal policy provisions — the Defendants have placed an </w:t>
      </w:r>
      <w:r>
        <w:rPr>
          <w:rFonts w:ascii="Times New Roman" w:cs="Times New Roman" w:eastAsia="Times New Roman" w:hAnsi="Times New Roman"/>
          <w:i/>
          <w:iCs/>
          <w:sz w:val="22"/>
          <w:szCs w:val="22"/>
        </w:rPr>
        <w:t xml:space="preserve">ex facie</w:t>
      </w:r>
      <w:r>
        <w:rPr>
          <w:rFonts w:ascii="Times New Roman" w:cs="Times New Roman" w:eastAsia="Times New Roman" w:hAnsi="Times New Roman"/>
          <w:sz w:val="22"/>
          <w:szCs w:val="22"/>
        </w:rPr>
        <w:t xml:space="preserve"> illegal act before this Court.</w:t>
      </w:r>
    </w:p>
    <w:p>
      <w:pPr>
        <w:spacing w:after="120" w:before="0"/>
        <w:jc w:val="both"/>
      </w:pPr>
      <w:r>
        <w:rPr>
          <w:rFonts w:ascii="Times New Roman" w:cs="Times New Roman" w:eastAsia="Times New Roman" w:hAnsi="Times New Roman"/>
          <w:b/>
          <w:bCs/>
          <w:sz w:val="22"/>
          <w:szCs w:val="22"/>
        </w:rPr>
        <w:t xml:space="preserve">4.14  </w:t>
      </w:r>
      <w:r>
        <w:rPr>
          <w:rFonts w:ascii="Times New Roman" w:cs="Times New Roman" w:eastAsia="Times New Roman" w:hAnsi="Times New Roman"/>
          <w:sz w:val="22"/>
          <w:szCs w:val="22"/>
        </w:rPr>
        <w:t xml:space="preserve">This Honourable Court possesses no equitable or judicial discretion to condone an express violation of Section 34(2), nor can it validate a defence built on an objective factual falsehood. The statutory 25% boundary is absolute and immutable. A deduction of 40.47% is illegal on its face, rendering the recovery an unlawful expropriation of remuneration as an absolute matter of law. Liability is fully established on the face of the papers.</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5. THE REJECTION OF THE WEAPONISED "INSUBORDINATION" REPRIMAND</w:t>
      </w:r>
    </w:p>
    <w:p>
      <w:pPr>
        <w:spacing w:after="120" w:before="0"/>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 26</w:t>
      </w:r>
      <w:r>
        <w:rPr>
          <w:rFonts w:ascii="Times New Roman" w:cs="Times New Roman" w:eastAsia="Times New Roman" w:hAnsi="Times New Roman"/>
          <w:sz w:val="22"/>
          <w:szCs w:val="22"/>
        </w:rPr>
        <w:t xml:space="preserve">, the Defendants introduce a disciplinary narrative, asserting that the Plaintiff was </w:t>
      </w:r>
      <w:r>
        <w:rPr>
          <w:rFonts w:ascii="Times New Roman" w:cs="Times New Roman" w:eastAsia="Times New Roman" w:hAnsi="Times New Roman"/>
          <w:i/>
          <w:iCs/>
          <w:sz w:val="22"/>
          <w:szCs w:val="22"/>
        </w:rPr>
        <w:t xml:space="preserve">"reprimanded for insubordination"</w:t>
      </w:r>
      <w:r>
        <w:rPr>
          <w:rFonts w:ascii="Times New Roman" w:cs="Times New Roman" w:eastAsia="Times New Roman" w:hAnsi="Times New Roman"/>
          <w:sz w:val="22"/>
          <w:szCs w:val="22"/>
        </w:rPr>
        <w:t xml:space="preserve"> because he refused an instruction to directly engage with a client after an internal investigation.</w:t>
      </w:r>
    </w:p>
    <w:p>
      <w:pPr>
        <w:spacing w:after="120" w:before="0"/>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The Plaintiff fiercely denies that this reprimand constituted a lawful or reasonable operational action. The record demonstrates that this disciplinary charge was retroactively weaponised against the Plaintiff </w:t>
      </w:r>
      <w:r>
        <w:rPr>
          <w:rFonts w:ascii="Times New Roman" w:cs="Times New Roman" w:eastAsia="Times New Roman" w:hAnsi="Times New Roman"/>
          <w:i/>
          <w:iCs/>
          <w:sz w:val="22"/>
          <w:szCs w:val="22"/>
        </w:rPr>
        <w:t xml:space="preserve">only after</w:t>
      </w:r>
      <w:r>
        <w:rPr>
          <w:rFonts w:ascii="Times New Roman" w:cs="Times New Roman" w:eastAsia="Times New Roman" w:hAnsi="Times New Roman"/>
          <w:sz w:val="22"/>
          <w:szCs w:val="22"/>
        </w:rPr>
        <w:t xml:space="preserve"> he escalated Protected Disclosures regarding systemic clinical integration defects within the Gexus-DMS architecture.</w:t>
      </w:r>
    </w:p>
    <w:p>
      <w:pPr>
        <w:spacing w:after="120" w:before="0"/>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The instruction given to the Plaintiff was an unlawful and unethical command to interface with a client for the purpose of managing, obscuring, or smoothing over un-remedied system errors that resulted in erroneous non-adherence letters being sent to vulnerable medical scheme beneficiaries.</w:t>
      </w:r>
    </w:p>
    <w:p>
      <w:pPr>
        <w:spacing w:after="120" w:before="0"/>
        <w:jc w:val="both"/>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In South African employment law, an employee is only bound to obey instructions that are lawful, reasonable, and ethical. Refusing to participate in corporate obfuscation or to validate an unresolved operational gap does not constitute actionable insubordination. The reprimand was a textbook act of occupational detriment and workplace retaliation in direct violation of the Protected Disclosures Act 26 of 2000 ("PDA").</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6. THE UNTENABILITY OF THE CONSTRUCTIVE DISMISSAL DENIAL</w:t>
      </w:r>
    </w:p>
    <w:p>
      <w:pPr>
        <w:spacing w:after="120" w:before="0"/>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Paragraphs 29 and 33</w:t>
      </w:r>
      <w:r>
        <w:rPr>
          <w:rFonts w:ascii="Times New Roman" w:cs="Times New Roman" w:eastAsia="Times New Roman" w:hAnsi="Times New Roman"/>
          <w:sz w:val="22"/>
          <w:szCs w:val="22"/>
        </w:rPr>
        <w:t xml:space="preserve">, the Defendants deny creating an intolerable work environment and assert that the Plaintiff resigned prematurely while internal grievance timelines were still unfolding.</w:t>
      </w:r>
    </w:p>
    <w:p>
      <w:pPr>
        <w:spacing w:after="120" w:before="0"/>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The Plaintiff rejects this assertion. Under prevailing labour jurisprudence, a self-represented employee is not required to endure structural destitution, bad-faith delays, and medical hostility indefinitely while an employer deploys strategic, administrative inertia.</w:t>
      </w:r>
    </w:p>
    <w:p>
      <w:pPr>
        <w:spacing w:after="120" w:before="0"/>
        <w:jc w:val="both"/>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The intolerability of the environment must be assessed objectively. The Defendants actively subjected the Plaintiff to a severe 40.47% financial reduction, stripped away his means of physical survival, ignored critical medical correspondence regarding his diagnosed PTSD and severe depression, and permitted their Employee Relations department to file sworn text labelling his psychiatric condition a subjective interpretation.</w:t>
      </w:r>
    </w:p>
    <w:p>
      <w:pPr>
        <w:spacing w:after="120" w:before="0"/>
        <w:jc w:val="both"/>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Expecting an employee with a formally disclosed mental health disability to remain embedded in an environment characterised by severe financial deprivation and weaponised psychological attacks is objectively unconscionable. The Defendants' systemic conduct and profound structural neglect rendered the continuation of the employment relationship entirely intolerable, satisfying the full statutory criteria for a constructive dismissal under Section 186(1)(e) of the Labour Relations Act 66 of 1995.</w:t>
      </w:r>
    </w:p>
    <w:p>
      <w:pPr>
        <w:spacing w:after="0" w:before="0"/>
      </w:pPr>
      <w:r>
        <w:rPr>
          <w:rFonts w:ascii="Times New Roman" w:cs="Times New Roman" w:eastAsia="Times New Roman" w:hAnsi="Times New Roman"/>
          <w:sz w:val="22"/>
          <w:szCs w:val="22"/>
        </w:rPr>
        <w:t xml:space="preserve"/>
      </w:r>
    </w:p>
    <w:p>
      <w:pPr>
        <w:pStyle w:val="Heading1"/>
        <w:spacing w:after="120" w:before="280"/>
        <w:jc w:val="left"/>
      </w:pPr>
      <w:r>
        <w:rPr>
          <w:rFonts w:ascii="Times New Roman" w:cs="Times New Roman" w:eastAsia="Times New Roman" w:hAnsi="Times New Roman"/>
          <w:b/>
          <w:bCs/>
          <w:sz w:val="24"/>
          <w:szCs w:val="24"/>
        </w:rPr>
        <w:t xml:space="preserve">7. CONCLUSION AND PRAYER FOR RELIEF</w:t>
      </w:r>
    </w:p>
    <w:p>
      <w:pPr>
        <w:spacing w:after="120" w:before="0"/>
        <w:jc w:val="both"/>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The Defendants' Statement of Response is procedurally dead on arrival for lack of a verifying affidavit and for being signed on behalf of an un-cited, non-party entity. Substantively, it collapses into a direct liquidated admission of an illegal 40.47% remuneration reduction under the BCEA, built upon an objective factual misrepresentation regarding the Plaintiff's July 2025 attendance.</w:t>
      </w:r>
    </w:p>
    <w:p>
      <w:pPr>
        <w:spacing w:after="120" w:before="0"/>
        <w:jc w:val="both"/>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There is no valid, sworn triable defence placed before this Honourable Court by the Respondents to counter the clear, documented, and statutory violations presented by the Applicant.</w:t>
      </w:r>
    </w:p>
    <w:p>
      <w:pPr>
        <w:spacing w:after="0" w:before="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b/>
          <w:bCs/>
          <w:sz w:val="22"/>
          <w:szCs w:val="22"/>
        </w:rPr>
        <w:t xml:space="preserve">WHEREFORE</w:t>
      </w:r>
      <w:r>
        <w:rPr>
          <w:rFonts w:ascii="Times New Roman" w:cs="Times New Roman" w:eastAsia="Times New Roman" w:hAnsi="Times New Roman"/>
          <w:sz w:val="22"/>
          <w:szCs w:val="22"/>
        </w:rPr>
        <w:t xml:space="preserve"> the Plaintiff persists in the claims set out in his Statement of Claim and prays for an order:</w:t>
      </w:r>
    </w:p>
    <w:p>
      <w:pPr>
        <w:spacing w:after="0" w:before="0"/>
      </w:pPr>
      <w:r>
        <w:rPr>
          <w:rFonts w:ascii="Times New Roman" w:cs="Times New Roman" w:eastAsia="Times New Roman" w:hAnsi="Times New Roman"/>
          <w:sz w:val="22"/>
          <w:szCs w:val="22"/>
        </w:rPr>
        <w:t xml:space="preserve"/>
      </w:r>
    </w:p>
    <w:p>
      <w:pPr>
        <w:spacing w:after="80" w:before="0"/>
        <w:jc w:val="both"/>
      </w:pPr>
      <w:r>
        <w:rPr>
          <w:rFonts w:ascii="Times New Roman" w:cs="Times New Roman" w:eastAsia="Times New Roman" w:hAnsi="Times New Roman"/>
          <w:b/>
          <w:bCs/>
          <w:sz w:val="22"/>
          <w:szCs w:val="22"/>
        </w:rPr>
        <w:t xml:space="preserve">IN RESPECT OF THE CONCURRENT APPLICATION (CASE NO: 2026-077546):</w:t>
      </w:r>
    </w:p>
    <w:p>
      <w:pPr>
        <w:spacing w:after="0" w:before="0"/>
      </w:pPr>
      <w:r>
        <w:rPr>
          <w:rFonts w:ascii="Times New Roman" w:cs="Times New Roman" w:eastAsia="Times New Roman" w:hAnsi="Times New Roman"/>
          <w:sz w:val="22"/>
          <w:szCs w:val="22"/>
        </w:rPr>
        <w:t xml:space="preserve"/>
      </w:r>
    </w:p>
    <w:p>
      <w:pPr>
        <w:spacing w:after="120" w:before="0"/>
        <w:ind w:left="720" w:hanging="48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An order declaring that the deduction of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from the Plaintiff's remuneration on 23 July 2025 was unilateral, unlawful, and in direct contravention of Section 34(1) and Section 34(2) of the Basic Conditions of Employment Act 75 of 1997;</w:t>
      </w:r>
    </w:p>
    <w:p>
      <w:pPr>
        <w:spacing w:after="120" w:before="0"/>
        <w:ind w:left="720" w:hanging="48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An order compelling the First and Second Defendants, jointly and severally, the one paying the other to be absolved, to make immediate repayment of the sum of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to the Plaintiff;</w:t>
      </w:r>
    </w:p>
    <w:p>
      <w:pPr>
        <w:spacing w:after="120" w:before="0"/>
        <w:ind w:left="720" w:hanging="48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An order directing the Defendants to pay interest on the said sum of </w:t>
      </w:r>
      <w:r>
        <w:rPr>
          <w:rFonts w:ascii="Times New Roman" w:cs="Times New Roman" w:eastAsia="Times New Roman" w:hAnsi="Times New Roman"/>
          <w:b/>
          <w:bCs/>
          <w:sz w:val="22"/>
          <w:szCs w:val="22"/>
        </w:rPr>
        <w:t xml:space="preserve">R14,811.77</w:t>
      </w:r>
      <w:r>
        <w:rPr>
          <w:rFonts w:ascii="Times New Roman" w:cs="Times New Roman" w:eastAsia="Times New Roman" w:hAnsi="Times New Roman"/>
          <w:sz w:val="22"/>
          <w:szCs w:val="22"/>
        </w:rPr>
        <w:t xml:space="preserve"> at the prescribed legal rate calculated from 23 July 2025 to the date of final payment;</w:t>
      </w:r>
    </w:p>
    <w:p>
      <w:pPr>
        <w:spacing w:after="0" w:before="0"/>
      </w:pPr>
      <w:r>
        <w:rPr>
          <w:rFonts w:ascii="Times New Roman" w:cs="Times New Roman" w:eastAsia="Times New Roman" w:hAnsi="Times New Roman"/>
          <w:sz w:val="22"/>
          <w:szCs w:val="22"/>
        </w:rPr>
        <w:t xml:space="preserve"/>
      </w:r>
    </w:p>
    <w:p>
      <w:pPr>
        <w:spacing w:after="80" w:before="0"/>
        <w:jc w:val="both"/>
      </w:pPr>
      <w:r>
        <w:rPr>
          <w:rFonts w:ascii="Times New Roman" w:cs="Times New Roman" w:eastAsia="Times New Roman" w:hAnsi="Times New Roman"/>
          <w:b/>
          <w:bCs/>
          <w:sz w:val="22"/>
          <w:szCs w:val="22"/>
        </w:rPr>
        <w:t xml:space="preserve">IN RESPECT OF THE MAIN STATEMENT OF CLAIM (CASE NO: 2026-083299):</w:t>
      </w:r>
    </w:p>
    <w:p>
      <w:pPr>
        <w:spacing w:after="0" w:before="0"/>
      </w:pPr>
      <w:r>
        <w:rPr>
          <w:rFonts w:ascii="Times New Roman" w:cs="Times New Roman" w:eastAsia="Times New Roman" w:hAnsi="Times New Roman"/>
          <w:sz w:val="22"/>
          <w:szCs w:val="22"/>
        </w:rPr>
        <w:t xml:space="preserve"/>
      </w:r>
    </w:p>
    <w:p>
      <w:pPr>
        <w:spacing w:after="120" w:before="0"/>
        <w:ind w:left="720" w:hanging="48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An order declaring that the resignation of the Plaintiff constitutes a Constructive Dismissal in terms of Section 186(1)(e) of the Labour Relations Act 66 of 1995, actively rendered intolerable by the continuous operational and financial misconduct of the Defendants;</w:t>
      </w:r>
    </w:p>
    <w:p>
      <w:pPr>
        <w:spacing w:after="120" w:before="0"/>
        <w:ind w:left="720" w:hanging="48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An order declaring that the Plaintiff's constructive dismissal constitutes an </w:t>
      </w:r>
      <w:r>
        <w:rPr>
          <w:rFonts w:ascii="Times New Roman" w:cs="Times New Roman" w:eastAsia="Times New Roman" w:hAnsi="Times New Roman"/>
          <w:b/>
          <w:bCs/>
          <w:sz w:val="22"/>
          <w:szCs w:val="22"/>
        </w:rPr>
        <w:t xml:space="preserve">Automatically Unfair Dismissal</w:t>
      </w:r>
      <w:r>
        <w:rPr>
          <w:rFonts w:ascii="Times New Roman" w:cs="Times New Roman" w:eastAsia="Times New Roman" w:hAnsi="Times New Roman"/>
          <w:sz w:val="22"/>
          <w:szCs w:val="22"/>
        </w:rPr>
        <w:t xml:space="preserve"> in terms of Section 187(1)(h) of the Labour Relations Act 66 of 1995, having been executed as a targeted occupational detriment in direct retaliation for making Protected Disclosures in terms of the Protected Disclosures Act 26 of 2000;</w:t>
      </w:r>
    </w:p>
    <w:p>
      <w:pPr>
        <w:spacing w:after="120" w:before="0"/>
        <w:ind w:left="720" w:hanging="48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An order compelling the Defendants to pay compensation to the Plaintiff equivalent to </w:t>
      </w:r>
      <w:r>
        <w:rPr>
          <w:rFonts w:ascii="Times New Roman" w:cs="Times New Roman" w:eastAsia="Times New Roman" w:hAnsi="Times New Roman"/>
          <w:b/>
          <w:bCs/>
          <w:sz w:val="22"/>
          <w:szCs w:val="22"/>
        </w:rPr>
        <w:t xml:space="preserve">24 (twenty-four) months' remuneration</w:t>
      </w:r>
      <w:r>
        <w:rPr>
          <w:rFonts w:ascii="Times New Roman" w:cs="Times New Roman" w:eastAsia="Times New Roman" w:hAnsi="Times New Roman"/>
          <w:sz w:val="22"/>
          <w:szCs w:val="22"/>
        </w:rPr>
        <w:t xml:space="preserve">, calculated at the Plaintiff's full gross contractual rate, as provided for under Section 194(3) of the Labour Relations Act 66 of 1995;</w:t>
      </w:r>
    </w:p>
    <w:p>
      <w:pPr>
        <w:spacing w:after="120" w:before="0"/>
        <w:ind w:left="720" w:hanging="48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An order directing the Defendants to issue a corrected and legally compliant Certificate of Service to the Plaintiff; and</w:t>
      </w:r>
    </w:p>
    <w:p>
      <w:pPr>
        <w:spacing w:after="120" w:before="0"/>
        <w:ind w:left="720" w:hanging="48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An order granting costs against the Defendants on a highly punitive attorney-and-client scale due to their cross-jurisdictional deception, bad-faith pleading omissions, and systemic procedural misconduct.</w:t>
      </w:r>
    </w:p>
    <w:p>
      <w:pPr>
        <w:spacing w:after="0" w:before="0"/>
      </w:pPr>
      <w:r>
        <w:rPr>
          <w:rFonts w:ascii="Times New Roman" w:cs="Times New Roman" w:eastAsia="Times New Roman" w:hAnsi="Times New Roman"/>
          <w:sz w:val="22"/>
          <w:szCs w:val="22"/>
        </w:rPr>
        <w:t xml:space="preserve"/>
      </w:r>
    </w:p>
    <w:p>
      <w:pPr>
        <w:pBdr>
          <w:bottom w:val="single" w:color="000000" w:sz="4" w:space="1"/>
        </w:pBdr>
        <w:spacing w:after="120" w:before="12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60" w:before="60"/>
        <w:jc w:val="center"/>
      </w:pPr>
      <w:r>
        <w:rPr>
          <w:rFonts w:ascii="Times New Roman" w:cs="Times New Roman" w:eastAsia="Times New Roman" w:hAnsi="Times New Roman"/>
          <w:b/>
          <w:bCs/>
          <w:sz w:val="22"/>
          <w:szCs w:val="22"/>
        </w:rPr>
        <w:t xml:space="preserve">DATED AT CAPE TOWN ON THIS THE 19TH DAY OF MAY 2026</w:t>
      </w:r>
    </w:p>
    <w:p>
      <w:pPr>
        <w:spacing w:after="0" w:before="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60" w:before="0"/>
        <w:jc w:val="left"/>
      </w:pPr>
      <w:r>
        <w:rPr>
          <w:rFonts w:ascii="Times New Roman" w:cs="Times New Roman" w:eastAsia="Times New Roman" w:hAnsi="Times New Roman"/>
          <w:sz w:val="22"/>
          <w:szCs w:val="22"/>
        </w:rPr>
        <w:t xml:space="preserve">_______________________________</w:t>
      </w:r>
    </w:p>
    <w:p>
      <w:pPr>
        <w:spacing w:after="120" w:before="0"/>
        <w:jc w:val="both"/>
      </w:pPr>
      <w:r>
        <w:rPr>
          <w:rFonts w:ascii="Times New Roman" w:cs="Times New Roman" w:eastAsia="Times New Roman" w:hAnsi="Times New Roman"/>
          <w:b/>
          <w:bCs/>
          <w:sz w:val="22"/>
          <w:szCs w:val="22"/>
        </w:rPr>
        <w:t xml:space="preserve">SR. WILBUR WILLIAM MATTHEE</w:t>
      </w:r>
    </w:p>
    <w:p>
      <w:pPr>
        <w:spacing w:after="120" w:before="0"/>
        <w:jc w:val="both"/>
      </w:pPr>
      <w:r>
        <w:rPr>
          <w:rFonts w:ascii="Times New Roman" w:cs="Times New Roman" w:eastAsia="Times New Roman" w:hAnsi="Times New Roman"/>
          <w:i/>
          <w:iCs/>
          <w:sz w:val="22"/>
          <w:szCs w:val="22"/>
        </w:rPr>
        <w:t xml:space="preserve">Plaintiff / Applicant in Person</w:t>
      </w:r>
    </w:p>
    <w:p>
      <w:pPr>
        <w:spacing w:after="120" w:before="0"/>
        <w:jc w:val="both"/>
      </w:pPr>
      <w:r>
        <w:rPr>
          <w:rFonts w:ascii="Times New Roman" w:cs="Times New Roman" w:eastAsia="Times New Roman" w:hAnsi="Times New Roman"/>
          <w:sz w:val="22"/>
          <w:szCs w:val="22"/>
        </w:rPr>
        <w:t xml:space="preserve">15 Bellevue Street, Voorbrug, Cape Town, 7001</w:t>
      </w:r>
    </w:p>
    <w:p>
      <w:pPr>
        <w:spacing w:after="120" w:before="0"/>
        <w:jc w:val="both"/>
      </w:pPr>
      <w:r>
        <w:rPr>
          <w:rFonts w:ascii="Times New Roman" w:cs="Times New Roman" w:eastAsia="Times New Roman" w:hAnsi="Times New Roman"/>
          <w:sz w:val="22"/>
          <w:szCs w:val="22"/>
        </w:rPr>
        <w:t xml:space="preserve">Email: info@ethichawks.co.za</w:t>
      </w:r>
    </w:p>
    <w:p>
      <w:pPr>
        <w:spacing w:after="0" w:before="0"/>
      </w:pPr>
      <w:r>
        <w:rPr>
          <w:rFonts w:ascii="Times New Roman" w:cs="Times New Roman" w:eastAsia="Times New Roman" w:hAnsi="Times New Roman"/>
          <w:sz w:val="22"/>
          <w:szCs w:val="22"/>
        </w:rPr>
        <w:t xml:space="preserve"/>
      </w:r>
    </w:p>
    <w:p>
      <w:pPr>
        <w:pBdr>
          <w:bottom w:val="single" w:color="000000" w:sz="4" w:space="1"/>
        </w:pBdr>
        <w:spacing w:after="120" w:before="120"/>
      </w:pPr>
      <w:r>
        <w:rPr>
          <w:rFonts w:ascii="Times New Roman" w:cs="Times New Roman" w:eastAsia="Times New Roman" w:hAnsi="Times New Roman"/>
          <w:sz w:val="22"/>
          <w:szCs w:val="22"/>
        </w:rPr>
        <w:t xml:space="preserve"/>
      </w:r>
    </w:p>
    <w:p>
      <w:pPr>
        <w:spacing w:after="0" w:before="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b/>
          <w:bCs/>
          <w:sz w:val="22"/>
          <w:szCs w:val="22"/>
        </w:rPr>
        <w:t xml:space="preserve">TO:  THE REGISTRAR OF THE LABOUR COURT</w:t>
      </w:r>
      <w:r>
        <w:rPr>
          <w:rFonts w:ascii="Times New Roman" w:cs="Times New Roman" w:eastAsia="Times New Roman" w:hAnsi="Times New Roman"/>
          <w:sz w:val="22"/>
          <w:szCs w:val="22"/>
        </w:rPr>
        <w:t xml:space="preserve">, Cape Town</w:t>
      </w:r>
    </w:p>
    <w:p>
      <w:pPr>
        <w:spacing w:after="0" w:before="0"/>
      </w:pPr>
      <w:r>
        <w:rPr>
          <w:rFonts w:ascii="Times New Roman" w:cs="Times New Roman" w:eastAsia="Times New Roman" w:hAnsi="Times New Roman"/>
          <w:sz w:val="22"/>
          <w:szCs w:val="22"/>
        </w:rPr>
        <w:t xml:space="preserve"/>
      </w:r>
    </w:p>
    <w:p>
      <w:pPr>
        <w:spacing w:after="120" w:before="0"/>
        <w:jc w:val="both"/>
      </w:pPr>
      <w:r>
        <w:rPr>
          <w:rFonts w:ascii="Times New Roman" w:cs="Times New Roman" w:eastAsia="Times New Roman" w:hAnsi="Times New Roman"/>
          <w:b/>
          <w:bCs/>
          <w:sz w:val="22"/>
          <w:szCs w:val="22"/>
        </w:rPr>
        <w:t xml:space="preserve">AND TO:  DENEYS REITZ ATTORNEYS / DE COMPAGNE ATTORNEYS</w:t>
      </w:r>
    </w:p>
    <w:p>
      <w:pPr>
        <w:spacing w:after="120" w:before="0"/>
        <w:jc w:val="both"/>
      </w:pPr>
      <w:r>
        <w:rPr>
          <w:rFonts w:ascii="Times New Roman" w:cs="Times New Roman" w:eastAsia="Times New Roman" w:hAnsi="Times New Roman"/>
          <w:sz w:val="22"/>
          <w:szCs w:val="22"/>
        </w:rPr>
        <w:t xml:space="preserve">Defendants' Attorneys of Record</w:t>
      </w:r>
    </w:p>
    <w:p>
      <w:pPr>
        <w:spacing w:after="120" w:before="0"/>
        <w:jc w:val="both"/>
      </w:pPr>
      <w:r>
        <w:rPr>
          <w:rFonts w:ascii="Times New Roman" w:cs="Times New Roman" w:eastAsia="Times New Roman" w:hAnsi="Times New Roman"/>
          <w:sz w:val="22"/>
          <w:szCs w:val="22"/>
        </w:rPr>
        <w:t xml:space="preserve">Per: Jason J Whyte</w:t>
      </w:r>
    </w:p>
    <w:p>
      <w:pPr>
        <w:spacing w:after="120" w:before="0"/>
        <w:jc w:val="both"/>
      </w:pPr>
      <w:r>
        <w:rPr>
          <w:rFonts w:ascii="Times New Roman" w:cs="Times New Roman" w:eastAsia="Times New Roman" w:hAnsi="Times New Roman"/>
          <w:sz w:val="22"/>
          <w:szCs w:val="22"/>
        </w:rPr>
        <w:t xml:space="preserve">Email: jason.whyte@deneys.co.za / IR@afrocentrichealth.com</w:t>
      </w:r>
    </w:p>
    <w:p>
      <w:pPr>
        <w:spacing w:after="120" w:before="0"/>
        <w:jc w:val="both"/>
      </w:pPr>
      <w:r>
        <w:rPr>
          <w:rFonts w:ascii="Times New Roman" w:cs="Times New Roman" w:eastAsia="Times New Roman" w:hAnsi="Times New Roman"/>
          <w:sz w:val="22"/>
          <w:szCs w:val="22"/>
        </w:rPr>
        <w:t xml:space="preserve">Ref: AFR1282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r>
      <w:rPr>
        <w:rFonts w:ascii="Times New Roman" w:cs="Times New Roman" w:eastAsia="Times New Roman" w:hAnsi="Times New Roman"/>
        <w:sz w:val="20"/>
        <w:szCs w:val="20"/>
      </w:rPr>
      <w:t xml:space="preserve">  |  Case No: 2026-083299 / 2026-077546  |  Matthee v AfroCentric Health (Pty) Ltd &amp; Another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2026-05-19T22:52:07.266Z</dcterms:created>
  <dcterms:modified xsi:type="dcterms:W3CDTF">2026-05-19T22:52:07.293Z</dcterms:modified>
</cp:coreProperties>
</file>

<file path=docProps/custom.xml><?xml version="1.0" encoding="utf-8"?>
<Properties xmlns="http://schemas.openxmlformats.org/officeDocument/2006/custom-properties" xmlns:vt="http://schemas.openxmlformats.org/officeDocument/2006/docPropsVTypes"/>
</file>