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40"/>
        <w:jc w:val="center"/>
      </w:pPr>
      <w:r>
        <w:rPr>
          <w:rFonts w:ascii="Times New Roman" w:cs="Times New Roman" w:eastAsia="Times New Roman" w:hAnsi="Times New Roman"/>
          <w:b/>
          <w:bCs/>
          <w:i w:val="false"/>
          <w:iCs w:val="false"/>
          <w:sz w:val="24"/>
          <w:szCs w:val="24"/>
        </w:rPr>
        <w:t xml:space="preserve">IN THE HIGH COURT OF SOUTH AFRICA</w:t>
      </w:r>
    </w:p>
    <w:p>
      <w:pPr>
        <w:spacing w:line="240" w:lineRule="auto" w:before="0" w:after="40"/>
        <w:jc w:val="center"/>
      </w:pPr>
      <w:r>
        <w:rPr>
          <w:rFonts w:ascii="Times New Roman" w:cs="Times New Roman" w:eastAsia="Times New Roman" w:hAnsi="Times New Roman"/>
          <w:b/>
          <w:bCs/>
          <w:i w:val="false"/>
          <w:iCs w:val="false"/>
          <w:sz w:val="24"/>
          <w:szCs w:val="24"/>
        </w:rPr>
        <w:t xml:space="preserve">(WESTERN CAPE DIVISION, CAPE TOWN)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Case No:  ____________________</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In the matter between: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WILBUR WILLIAM MATTHEE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Applicant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(Identity Number: 8909035151087)</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and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BRUNO FERNANDES &amp; OTHERS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Respondents</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center"/>
      </w:pPr>
      <w:r>
        <w:rPr>
          <w:rFonts w:ascii="Times New Roman" w:cs="Times New Roman" w:eastAsia="Times New Roman" w:hAnsi="Times New Roman"/>
          <w:b/>
          <w:bCs/>
          <w:i w:val="false"/>
          <w:iCs w:val="false"/>
          <w:sz w:val="24"/>
          <w:szCs w:val="24"/>
        </w:rPr>
        <w:t xml:space="preserve">PRACTICE NOTE</w:t>
      </w:r>
    </w:p>
    <w:p>
      <w:pPr>
        <w:spacing w:line="480" w:lineRule="auto" w:before="0" w:after="200"/>
        <w:jc w:val="center"/>
      </w:pPr>
      <w:r>
        <w:rPr>
          <w:rFonts w:ascii="Times New Roman" w:cs="Times New Roman" w:eastAsia="Times New Roman" w:hAnsi="Times New Roman"/>
          <w:b w:val="false"/>
          <w:bCs w:val="false"/>
          <w:i/>
          <w:iCs/>
          <w:sz w:val="24"/>
          <w:szCs w:val="24"/>
        </w:rPr>
        <w:t xml:space="preserve">(Urgent Section 162 Delinquency Application – Rule 6(12))</w:t>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Nature of the application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This is an urgent application in terms of Rule 6(12) of the Uniform Rules of Court for: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An order declaring the First to Fifth Respondents </w:t>
      </w:r>
      <w:r>
        <w:rPr>
          <w:rFonts w:ascii="Times New Roman" w:cs="Times New Roman" w:eastAsia="Times New Roman" w:hAnsi="Times New Roman"/>
          <w:b/>
          <w:bCs/>
          <w:i w:val="false"/>
          <w:iCs w:val="false"/>
          <w:sz w:val="24"/>
          <w:szCs w:val="24"/>
        </w:rPr>
        <w:t xml:space="preserve">delinquent directors/officers</w:t>
      </w:r>
      <w:r>
        <w:rPr>
          <w:rFonts w:ascii="Times New Roman" w:cs="Times New Roman" w:eastAsia="Times New Roman" w:hAnsi="Times New Roman"/>
          <w:b w:val="false"/>
          <w:bCs w:val="false"/>
          <w:i w:val="false"/>
          <w:iCs w:val="false"/>
          <w:sz w:val="24"/>
          <w:szCs w:val="24"/>
        </w:rPr>
        <w:t xml:space="preserve"> in terms of section 162(5) of the Companies Act 71 of 2008 (alternatively placing them under probation);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Consequential damages arising from the unlawful payroll deduction and institutional failure to act;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val="false"/>
          <w:bCs w:val="false"/>
          <w:i w:val="false"/>
          <w:iCs w:val="false"/>
          <w:sz w:val="24"/>
          <w:szCs w:val="24"/>
        </w:rPr>
        <w:t xml:space="preserve">Costs on the </w:t>
      </w:r>
      <w:r>
        <w:rPr>
          <w:rFonts w:ascii="Times New Roman" w:cs="Times New Roman" w:eastAsia="Times New Roman" w:hAnsi="Times New Roman"/>
          <w:b/>
          <w:bCs/>
          <w:i w:val="false"/>
          <w:iCs w:val="false"/>
          <w:sz w:val="24"/>
          <w:szCs w:val="24"/>
        </w:rPr>
        <w:t xml:space="preserve">attorney-and-client scale</w:t>
      </w:r>
      <w:r>
        <w:rPr>
          <w:rFonts w:ascii="Times New Roman" w:cs="Times New Roman" w:eastAsia="Times New Roman" w:hAnsi="Times New Roman"/>
          <w:b w:val="false"/>
          <w:bCs w:val="false"/>
          <w:i w:val="false"/>
          <w:iCs w:val="false"/>
          <w:sz w:val="24"/>
          <w:szCs w:val="24"/>
        </w:rPr>
        <w:t xml:space="preserv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Basis for urgency</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faces confirmed eviction from his residence at the end of March 2026, has no income, no running water, and his South African Nursing Council registration has lapsed. The urgency is </w:t>
      </w:r>
      <w:r>
        <w:rPr>
          <w:rFonts w:ascii="Times New Roman" w:cs="Times New Roman" w:eastAsia="Times New Roman" w:hAnsi="Times New Roman"/>
          <w:b/>
          <w:bCs/>
          <w:i w:val="false"/>
          <w:iCs w:val="false"/>
          <w:sz w:val="24"/>
          <w:szCs w:val="24"/>
        </w:rPr>
        <w:t xml:space="preserve">not self-created</w:t>
      </w:r>
      <w:r>
        <w:rPr>
          <w:rFonts w:ascii="Times New Roman" w:cs="Times New Roman" w:eastAsia="Times New Roman" w:hAnsi="Times New Roman"/>
          <w:b w:val="false"/>
          <w:bCs w:val="false"/>
          <w:i w:val="false"/>
          <w:iCs w:val="false"/>
          <w:sz w:val="24"/>
          <w:szCs w:val="24"/>
        </w:rPr>
        <w:t xml:space="preserve"> and flows directly from the Respondents’ sustained institutional silence despite nine formal escalations (including a Priority 1 Material Risk Report placed before the Board). Substantial redress will not be possible in the ordinary course.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Status of the matter</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application remains </w:t>
      </w:r>
      <w:r>
        <w:rPr>
          <w:rFonts w:ascii="Times New Roman" w:cs="Times New Roman" w:eastAsia="Times New Roman" w:hAnsi="Times New Roman"/>
          <w:b/>
          <w:bCs/>
          <w:i w:val="false"/>
          <w:iCs w:val="false"/>
          <w:sz w:val="24"/>
          <w:szCs w:val="24"/>
        </w:rPr>
        <w:t xml:space="preserve">unopposed</w:t>
      </w:r>
      <w:r>
        <w:rPr>
          <w:rFonts w:ascii="Times New Roman" w:cs="Times New Roman" w:eastAsia="Times New Roman" w:hAnsi="Times New Roman"/>
          <w:b w:val="false"/>
          <w:bCs w:val="false"/>
          <w:i w:val="false"/>
          <w:iCs w:val="false"/>
          <w:sz w:val="24"/>
          <w:szCs w:val="24"/>
        </w:rPr>
        <w:t xml:space="preserve">. No notice of intention to oppose has been filed.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Compliance</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application bundle is fully indexed and paginated (97 pages).</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All annexures (“A” to “G”) are attached and properly referenced in the Founding Affidavit.</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Applicant is self-represented.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Estimated duration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30 minutes (unopposed motion).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DATED at </w:t>
      </w:r>
      <w:r>
        <w:rPr>
          <w:rFonts w:ascii="Times New Roman" w:cs="Times New Roman" w:eastAsia="Times New Roman" w:hAnsi="Times New Roman"/>
          <w:b/>
          <w:bCs/>
          <w:i w:val="false"/>
          <w:iCs w:val="false"/>
          <w:sz w:val="24"/>
          <w:szCs w:val="24"/>
        </w:rPr>
        <w:t xml:space="preserve">CAPE TOWN</w:t>
      </w:r>
      <w:r>
        <w:rPr>
          <w:rFonts w:ascii="Times New Roman" w:cs="Times New Roman" w:eastAsia="Times New Roman" w:hAnsi="Times New Roman"/>
          <w:b w:val="false"/>
          <w:bCs w:val="false"/>
          <w:i w:val="false"/>
          <w:iCs w:val="false"/>
          <w:sz w:val="24"/>
          <w:szCs w:val="24"/>
        </w:rPr>
        <w:t xml:space="preserve"> on this </w:t>
      </w:r>
      <w:r>
        <w:rPr>
          <w:rFonts w:ascii="Times New Roman" w:cs="Times New Roman" w:eastAsia="Times New Roman" w:hAnsi="Times New Roman"/>
          <w:b/>
          <w:bCs/>
          <w:i w:val="false"/>
          <w:iCs w:val="false"/>
          <w:sz w:val="24"/>
          <w:szCs w:val="24"/>
        </w:rPr>
        <w:t xml:space="preserve">18th</w:t>
      </w:r>
      <w:r>
        <w:rPr>
          <w:rFonts w:ascii="Times New Roman" w:cs="Times New Roman" w:eastAsia="Times New Roman" w:hAnsi="Times New Roman"/>
          <w:b w:val="false"/>
          <w:bCs w:val="false"/>
          <w:i w:val="false"/>
          <w:iCs w:val="false"/>
          <w:sz w:val="24"/>
          <w:szCs w:val="24"/>
        </w:rPr>
        <w:t xml:space="preserve"> day of </w:t>
      </w:r>
      <w:r>
        <w:rPr>
          <w:rFonts w:ascii="Times New Roman" w:cs="Times New Roman" w:eastAsia="Times New Roman" w:hAnsi="Times New Roman"/>
          <w:b/>
          <w:bCs/>
          <w:i w:val="false"/>
          <w:iCs w:val="false"/>
          <w:sz w:val="24"/>
          <w:szCs w:val="24"/>
        </w:rPr>
        <w:t xml:space="preserve">MARCH 2026</w:t>
      </w:r>
      <w:r>
        <w:rPr>
          <w:rFonts w:ascii="Times New Roman" w:cs="Times New Roman" w:eastAsia="Times New Roman" w:hAnsi="Times New Roman"/>
          <w:b w:val="false"/>
          <w:bCs w:val="false"/>
          <w:i w:val="false"/>
          <w:iCs w:val="false"/>
          <w:sz w:val="24"/>
          <w:szCs w:val="24"/>
        </w:rPr>
        <w:t xml:space="preserv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___________________________________</w:t>
      </w:r>
    </w:p>
    <w:p>
      <w:pPr>
        <w:spacing w:line="240" w:lineRule="auto" w:before="0" w:after="40"/>
        <w:jc w:val="left"/>
      </w:pPr>
      <w:r>
        <w:rPr>
          <w:rFonts w:ascii="Times New Roman" w:cs="Times New Roman" w:eastAsia="Times New Roman" w:hAnsi="Times New Roman"/>
          <w:b/>
          <w:bCs/>
          <w:i w:val="false"/>
          <w:iCs w:val="false"/>
          <w:sz w:val="24"/>
          <w:szCs w:val="24"/>
        </w:rPr>
        <w:t xml:space="preserve">WILBUR WILLIAM MATTHEE</w:t>
      </w:r>
    </w:p>
    <w:p>
      <w:pPr>
        <w:spacing w:line="240" w:lineRule="auto" w:before="0" w:after="40"/>
        <w:jc w:val="left"/>
      </w:pPr>
      <w:r>
        <w:rPr>
          <w:rFonts w:ascii="Times New Roman" w:cs="Times New Roman" w:eastAsia="Times New Roman" w:hAnsi="Times New Roman"/>
          <w:b/>
          <w:bCs/>
          <w:i w:val="false"/>
          <w:iCs w:val="false"/>
          <w:sz w:val="24"/>
          <w:szCs w:val="24"/>
        </w:rPr>
        <w:t xml:space="preserve">APPLICANT – SELF-REPRESENTED</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15 Bellevue Street, Voorbrug, Cape Town, 7100</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Email: info@ethichawks.co.za</w:t>
      </w:r>
    </w:p>
    <w:sectPr>
      <w:headerReference w:type="default" r:id="rId6"/>
      <w:footerReference w:type="default" r:id="rId7"/>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iCs/>
        <w:sz w:val="20"/>
        <w:szCs w:val="20"/>
      </w:rPr>
      <w:t xml:space="preserve">Case No: ___________________________  |  Practice Note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center"/>
    </w:pPr>
    <w:r>
      <w:rPr>
        <w:rFonts w:ascii="Times New Roman" w:cs="Times New Roman" w:eastAsia="Times New Roman" w:hAnsi="Times New Roman"/>
        <w:b w:val="false"/>
        <w:bCs w:val="false"/>
        <w:i/>
        <w:iCs/>
        <w:sz w:val="20"/>
        <w:szCs w:val="20"/>
      </w:rPr>
      <w:t xml:space="preserve">IN THE HIGH COURT OF SOUTH AFRICA (WESTERN CAPE DIVISION, CAPE TOWN)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2026-03-18T11:41:45.348Z</dcterms:created>
  <dcterms:modified xsi:type="dcterms:W3CDTF">2026-03-18T11:41:45.348Z</dcterms:modified>
</cp:coreProperties>
</file>

<file path=docProps/custom.xml><?xml version="1.0" encoding="utf-8"?>
<Properties xmlns="http://schemas.openxmlformats.org/officeDocument/2006/custom-properties" xmlns:vt="http://schemas.openxmlformats.org/officeDocument/2006/docPropsVTypes"/>
</file>