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caps/>
          <w:color w:val="000000"/>
          <w:sz w:val="260"/>
          <w:szCs w:val="260"/>
        </w:rPr>
        <w:t xml:space="preserve">IN THE LABOUR COURT OF SOUTH AFRICA</w:t>
      </w:r>
    </w:p>
    <w:p>
      <w:pPr>
        <w:spacing w:after="120" w:before="0"/>
        <w:jc w:val="center"/>
      </w:pPr>
      <w:r>
        <w:rPr>
          <w:rFonts w:ascii="Times New Roman" w:cs="Times New Roman" w:eastAsia="Times New Roman" w:hAnsi="Times New Roman"/>
          <w:b/>
          <w:bCs/>
          <w:caps/>
          <w:color w:val="000000"/>
          <w:sz w:val="260"/>
          <w:szCs w:val="260"/>
        </w:rPr>
        <w:t xml:space="preserve">CAPE TOWN</w:t>
      </w:r>
    </w:p>
    <w:p>
      <w:pPr>
        <w:pBdr>
          <w:bottom w:val="single" w:color="1A3557" w:sz="6" w:space="1"/>
        </w:pBdr>
        <w:spacing w:after="60" w:before="60"/>
      </w:pPr>
    </w:p>
    <w:p>
      <w:pPr>
        <w:spacing w:after="80" w:before="0"/>
      </w:pPr>
    </w:p>
    <w:p>
      <w:pPr>
        <w:spacing w:after="160" w:before="0"/>
        <w:jc w:val="center"/>
      </w:pPr>
      <w:r>
        <w:rPr>
          <w:rFonts w:ascii="Times New Roman" w:cs="Times New Roman" w:eastAsia="Times New Roman" w:hAnsi="Times New Roman"/>
          <w:b/>
          <w:bCs/>
          <w:caps w:val="false"/>
          <w:color w:val="000000"/>
          <w:sz w:val="240"/>
          <w:szCs w:val="240"/>
        </w:rPr>
        <w:t xml:space="preserve">CASE NO: ___________________________</w:t>
      </w:r>
    </w:p>
    <w:p>
      <w:pPr>
        <w:spacing w:after="120" w:before="0"/>
        <w:jc w:val="center"/>
      </w:pPr>
      <w:r>
        <w:rPr>
          <w:rFonts w:ascii="Times New Roman" w:cs="Times New Roman" w:eastAsia="Times New Roman" w:hAnsi="Times New Roman"/>
          <w:b w:val="false"/>
          <w:bCs w:val="false"/>
          <w:caps w:val="false"/>
          <w:color w:val="000000"/>
          <w:sz w:val="240"/>
          <w:szCs w:val="240"/>
        </w:rPr>
        <w:t xml:space="preserve">In the matter between:</w:t>
      </w:r>
    </w:p>
    <w:p>
      <w:pPr>
        <w:spacing w:after="40" w:before="0"/>
      </w:pPr>
    </w:p>
    <w:p>
      <w:pPr>
        <w:spacing w:after="20" w:before="0"/>
        <w:jc w:val="center"/>
      </w:pPr>
      <w:r>
        <w:rPr>
          <w:rFonts w:ascii="Times New Roman" w:cs="Times New Roman" w:eastAsia="Times New Roman" w:hAnsi="Times New Roman"/>
          <w:b/>
          <w:bCs/>
          <w:caps/>
          <w:color w:val="000000"/>
          <w:sz w:val="260"/>
          <w:szCs w:val="260"/>
        </w:rPr>
        <w:t xml:space="preserve">WILBUR WILLIAM MATTHEE</w:t>
      </w:r>
    </w:p>
    <w:p>
      <w:pPr>
        <w:spacing w:after="160" w:before="0"/>
        <w:jc w:val="center"/>
      </w:pPr>
      <w:r>
        <w:rPr>
          <w:rFonts w:ascii="Times New Roman" w:cs="Times New Roman" w:eastAsia="Times New Roman" w:hAnsi="Times New Roman"/>
          <w:b w:val="false"/>
          <w:bCs w:val="false"/>
          <w:caps w:val="false"/>
          <w:color w:val="000000"/>
          <w:sz w:val="240"/>
          <w:szCs w:val="240"/>
        </w:rPr>
        <w:t xml:space="preserve">Applicant</w:t>
      </w:r>
    </w:p>
    <w:p>
      <w:pPr>
        <w:spacing w:after="160" w:before="0"/>
        <w:jc w:val="center"/>
      </w:pPr>
      <w:r>
        <w:rPr>
          <w:rFonts w:ascii="Times New Roman" w:cs="Times New Roman" w:eastAsia="Times New Roman" w:hAnsi="Times New Roman"/>
          <w:b w:val="false"/>
          <w:bCs w:val="false"/>
          <w:caps w:val="false"/>
          <w:color w:val="000000"/>
          <w:sz w:val="240"/>
          <w:szCs w:val="240"/>
        </w:rPr>
        <w:t xml:space="preserve">and</w:t>
      </w:r>
    </w:p>
    <w:p>
      <w:pPr>
        <w:spacing w:after="20" w:before="0"/>
        <w:jc w:val="center"/>
      </w:pPr>
      <w:r>
        <w:rPr>
          <w:rFonts w:ascii="Times New Roman" w:cs="Times New Roman" w:eastAsia="Times New Roman" w:hAnsi="Times New Roman"/>
          <w:b/>
          <w:bCs/>
          <w:caps/>
          <w:color w:val="000000"/>
          <w:sz w:val="260"/>
          <w:szCs w:val="260"/>
        </w:rPr>
        <w:t xml:space="preserve">AFROCENTRIC HEALTH (RF) (PTY) LTD</w:t>
      </w:r>
    </w:p>
    <w:p>
      <w:pPr>
        <w:spacing w:after="160" w:before="0"/>
        <w:jc w:val="center"/>
      </w:pPr>
      <w:r>
        <w:rPr>
          <w:rFonts w:ascii="Times New Roman" w:cs="Times New Roman" w:eastAsia="Times New Roman" w:hAnsi="Times New Roman"/>
          <w:b w:val="false"/>
          <w:bCs w:val="false"/>
          <w:caps w:val="false"/>
          <w:color w:val="000000"/>
          <w:sz w:val="240"/>
          <w:szCs w:val="240"/>
        </w:rPr>
        <w:t xml:space="preserve">First Respondent</w:t>
      </w:r>
    </w:p>
    <w:p>
      <w:pPr>
        <w:spacing w:after="20" w:before="0"/>
        <w:jc w:val="center"/>
      </w:pPr>
      <w:r>
        <w:rPr>
          <w:rFonts w:ascii="Times New Roman" w:cs="Times New Roman" w:eastAsia="Times New Roman" w:hAnsi="Times New Roman"/>
          <w:b/>
          <w:bCs/>
          <w:caps/>
          <w:color w:val="000000"/>
          <w:sz w:val="260"/>
          <w:szCs w:val="260"/>
        </w:rPr>
        <w:t xml:space="preserve">MEDSCHEME HOLDINGS (PTY) LTD</w:t>
      </w:r>
    </w:p>
    <w:p>
      <w:pPr>
        <w:spacing w:after="160" w:before="0"/>
        <w:jc w:val="center"/>
      </w:pPr>
      <w:r>
        <w:rPr>
          <w:rFonts w:ascii="Times New Roman" w:cs="Times New Roman" w:eastAsia="Times New Roman" w:hAnsi="Times New Roman"/>
          <w:b w:val="false"/>
          <w:bCs w:val="false"/>
          <w:caps w:val="false"/>
          <w:color w:val="000000"/>
          <w:sz w:val="240"/>
          <w:szCs w:val="240"/>
        </w:rPr>
        <w:t xml:space="preserve">Second Respondent</w:t>
      </w:r>
    </w:p>
    <w:p>
      <w:pPr>
        <w:pBdr>
          <w:bottom w:val="single" w:color="1A3557" w:sz="6" w:space="1"/>
        </w:pBdr>
        <w:spacing w:after="60" w:before="60"/>
      </w:pPr>
    </w:p>
    <w:p>
      <w:pPr>
        <w:spacing w:after="80" w:before="0"/>
      </w:pPr>
    </w:p>
    <w:p>
      <w:pPr>
        <w:spacing w:after="20" w:before="80"/>
        <w:jc w:val="center"/>
      </w:pPr>
      <w:r>
        <w:rPr>
          <w:rFonts w:ascii="Times New Roman" w:cs="Times New Roman" w:eastAsia="Times New Roman" w:hAnsi="Times New Roman"/>
          <w:b/>
          <w:bCs/>
          <w:caps/>
          <w:color w:val="000000"/>
          <w:sz w:val="280"/>
          <w:szCs w:val="280"/>
        </w:rPr>
        <w:t xml:space="preserve">STATEMENT OF CLAIM</w:t>
      </w:r>
    </w:p>
    <w:p>
      <w:pPr>
        <w:spacing w:after="20" w:before="0"/>
        <w:jc w:val="center"/>
      </w:pPr>
      <w:r>
        <w:rPr>
          <w:rFonts w:ascii="Times New Roman" w:cs="Times New Roman" w:eastAsia="Times New Roman" w:hAnsi="Times New Roman"/>
          <w:b w:val="false"/>
          <w:bCs w:val="false"/>
          <w:caps w:val="false"/>
          <w:color w:val="000000"/>
          <w:sz w:val="240"/>
          <w:szCs w:val="240"/>
        </w:rPr>
        <w:t xml:space="preserve">(Final — 9 April 2026)</w:t>
      </w:r>
    </w:p>
    <w:p>
      <w:pPr>
        <w:spacing w:after="200" w:before="0"/>
        <w:jc w:val="center"/>
      </w:pPr>
      <w:r>
        <w:rPr>
          <w:rFonts w:ascii="Times New Roman" w:cs="Times New Roman" w:eastAsia="Times New Roman" w:hAnsi="Times New Roman"/>
          <w:b w:val="false"/>
          <w:bCs w:val="false"/>
          <w:caps w:val="false"/>
          <w:color w:val="000000"/>
          <w:sz w:val="220"/>
          <w:szCs w:val="220"/>
        </w:rPr>
        <w:t xml:space="preserve">Lodged pursuant to Rule 6 of the Rules for the Conduct of Proceedings before the Labour Court</w:t>
      </w:r>
    </w:p>
    <w:p>
      <w:pPr>
        <w:pBdr>
          <w:bottom w:val="single" w:color="1A3557" w:sz="6" w:space="1"/>
        </w:pBdr>
        <w:spacing w:after="60" w:before="60"/>
      </w:pP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A3557" w:val="clear"/>
            <w:tcMar>
              <w:top w:type="dxa" w:w="80"/>
              <w:left w:type="dxa" w:w="120"/>
              <w:bottom w:type="dxa" w:w="80"/>
              <w:right w:type="dxa" w:w="120"/>
            </w:tcMar>
          </w:tcPr>
          <w:p>
            <w:r>
              <w:rPr>
                <w:rFonts w:ascii="Times New Roman" w:cs="Times New Roman" w:eastAsia="Times New Roman" w:hAnsi="Times New Roman"/>
                <w:b/>
                <w:bCs/>
                <w:color w:val="FFFFFF"/>
                <w:sz w:val="220"/>
                <w:szCs w:val="220"/>
              </w:rPr>
              <w:t xml:space="preserve">Applicant (Self-Represented)</w:t>
            </w:r>
          </w:p>
        </w:tc>
        <w:tc>
          <w:tcPr>
            <w:tcW w:type="dxa" w:w="60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Wilbur William Matthee | info@ethichawks.co.za | 069 635 1435 / 063 378 8782</w:t>
            </w:r>
          </w:p>
        </w:tc>
      </w:tr>
      <w:tr>
        <w:tc>
          <w:tcPr>
            <w:tcW w:type="dxa" w:w="3000"/>
            <w:shd w:fill="1A3557" w:val="clear"/>
            <w:tcMar>
              <w:top w:type="dxa" w:w="80"/>
              <w:left w:type="dxa" w:w="120"/>
              <w:bottom w:type="dxa" w:w="80"/>
              <w:right w:type="dxa" w:w="120"/>
            </w:tcMar>
          </w:tcPr>
          <w:p>
            <w:r>
              <w:rPr>
                <w:rFonts w:ascii="Times New Roman" w:cs="Times New Roman" w:eastAsia="Times New Roman" w:hAnsi="Times New Roman"/>
                <w:b/>
                <w:bCs/>
                <w:color w:val="FFFFFF"/>
                <w:sz w:val="220"/>
                <w:szCs w:val="220"/>
              </w:rPr>
              <w:t xml:space="preserve">Address for Service</w:t>
            </w:r>
          </w:p>
        </w:tc>
        <w:tc>
          <w:tcPr>
            <w:tcW w:type="dxa" w:w="60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15 Bellevue Street, Voorbrug, Cape Town, 7001 (email service accepted)</w:t>
            </w:r>
          </w:p>
        </w:tc>
      </w:tr>
      <w:tr>
        <w:tc>
          <w:tcPr>
            <w:tcW w:type="dxa" w:w="3000"/>
            <w:shd w:fill="1A3557" w:val="clear"/>
            <w:tcMar>
              <w:top w:type="dxa" w:w="80"/>
              <w:left w:type="dxa" w:w="120"/>
              <w:bottom w:type="dxa" w:w="80"/>
              <w:right w:type="dxa" w:w="120"/>
            </w:tcMar>
          </w:tcPr>
          <w:p>
            <w:r>
              <w:rPr>
                <w:rFonts w:ascii="Times New Roman" w:cs="Times New Roman" w:eastAsia="Times New Roman" w:hAnsi="Times New Roman"/>
                <w:b/>
                <w:bCs/>
                <w:color w:val="FFFFFF"/>
                <w:sz w:val="220"/>
                <w:szCs w:val="220"/>
              </w:rPr>
              <w:t xml:space="preserve">CCMA References</w:t>
            </w:r>
          </w:p>
        </w:tc>
        <w:tc>
          <w:tcPr>
            <w:tcW w:type="dxa" w:w="60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WECT23564-25 and WECT24486-25 (Certificates of Non-Resolution: 9 January 2026)</w:t>
            </w:r>
          </w:p>
        </w:tc>
      </w:tr>
      <w:tr>
        <w:tc>
          <w:tcPr>
            <w:tcW w:type="dxa" w:w="3000"/>
            <w:shd w:fill="1A3557" w:val="clear"/>
            <w:tcMar>
              <w:top w:type="dxa" w:w="80"/>
              <w:left w:type="dxa" w:w="120"/>
              <w:bottom w:type="dxa" w:w="80"/>
              <w:right w:type="dxa" w:w="120"/>
            </w:tcMar>
          </w:tcPr>
          <w:p>
            <w:r>
              <w:rPr>
                <w:rFonts w:ascii="Times New Roman" w:cs="Times New Roman" w:eastAsia="Times New Roman" w:hAnsi="Times New Roman"/>
                <w:b/>
                <w:bCs/>
                <w:color w:val="FFFFFF"/>
                <w:sz w:val="220"/>
                <w:szCs w:val="220"/>
              </w:rPr>
              <w:t xml:space="preserve">Related Proceedings</w:t>
            </w:r>
          </w:p>
        </w:tc>
        <w:tc>
          <w:tcPr>
            <w:tcW w:type="dxa" w:w="60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Case No. 2026-077546 (BCEA s77A — unlawful salary deduction)</w:t>
            </w:r>
          </w:p>
        </w:tc>
      </w:tr>
    </w:tbl>
    <w:p>
      <w:pPr>
        <w:spacing w:after="20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Note to the Registrar regarding Part H (Copyright / CPD Programme)</w:t>
      </w:r>
    </w:p>
    <w:tbl>
      <w:tblPr>
        <w:tblW w:type="dxa" w:w="9026"/>
        <w:tblBorders>
          <w:top w:val="single" w:color="B8860B" w:sz="4"/>
          <w:left w:val="thick" w:color="B8860B" w:sz="8"/>
          <w:bottom w:val="single" w:color="B8860B" w:sz="4"/>
          <w:right w:val="single" w:color="B8860B" w:sz="4"/>
          <w:insideH w:val="single" w:color="auto" w:sz="4"/>
          <w:insideV w:val="single" w:color="auto" w:sz="4"/>
        </w:tblBorders>
      </w:tblPr>
      <w:tblGrid>
        <w:gridCol w:w="100"/>
      </w:tblGrid>
      <w:tr>
        <w:tc>
          <w:tcPr>
            <w:tcW w:type="dxa" w:w="9026"/>
            <w:shd w:fill="FFFDE7" w:val="clear"/>
            <w:tcMar>
              <w:top w:type="dxa" w:w="120"/>
              <w:left w:type="dxa" w:w="200"/>
              <w:bottom w:type="dxa" w:w="120"/>
              <w:right w:type="dxa" w:w="200"/>
            </w:tcMar>
          </w:tcPr>
          <w:p>
            <w:pPr>
              <w:spacing w:after="40" w:before="40"/>
              <w:jc w:val="both"/>
            </w:pPr>
            <w:r>
              <w:rPr>
                <w:rFonts w:ascii="Times New Roman" w:cs="Times New Roman" w:eastAsia="Times New Roman" w:hAnsi="Times New Roman"/>
                <w:i/>
                <w:iCs/>
                <w:sz w:val="220"/>
                <w:szCs w:val="220"/>
              </w:rPr>
              <w:t xml:space="preserve">The Applicant draws the Registrar's attention to Part H of this Statement of Claim. The facts concerning the CPD programme — developed by the Applicant in April 2025, rejected by management, and subsequently implemented without attribution in October 2025 — are pleaded solely as evidence of the Respondents' bad faith, retaliatory intent, and the intolerability of the employment relationship. The Applicant does not seek any damages or corrective relief for copyright infringement or intellectual property misappropriation in these proceedings. The Applicant expressly reserves the right to pursue those claims in separate proceedings. Part H is included for evidentiary purposes only, consistent with Rule 6 of the Labour Court Rules.</w:t>
            </w:r>
          </w:p>
        </w:tc>
      </w:tr>
    </w:tbl>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Preamble — The Protected Disclosures Amendment Bill, 2026</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Applicant draws the attention of this Honourable Court to the Protected Disclosures Amendment Bill, 2026, published by the Minister of Justice and Constitutional Development on 8 April 2026 [Government Gazette No. [●] of 8 April 2026, GN [●] — Gazette number to be confirmed and inserted upon receipt of official copy; a copy is attached as Annexure "PDA BILL"]. While the Bill is not yet enacted, it represents Parliament's most recent and authoritative statement on the interpretation and purpose of the Protected Disclosures Act 26 of 2000 ("the PDA").</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Bill expressly:</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Expands the definition of "occupational detriment" to include threatening a frivolous or vexatious complaint in response to a protected disclosure — which is precisely what the Applicant's manager did on 31 October 2025, stating: "You made a case of harassment against me, so I can make a case of harassment against you";</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Creates a Whistleblower Protection Fund for destitute whistleblowers — the Applicant is presently homeless, without running water, and has had personal possessions seized by creditors;</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Extends protection to former employees — the Applicant resigned on 12 December 2025, yet the retaliation continues; and</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Imposes criminal penalties for retaliation against whistleblowers.</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This Court is respectfully requested to interpret the existing PDA purposively and in light of the Bill as a clear indicator of parliamentary intent to strengthen, not weaken, whistleblower protection. Any narrow interpretation that would exclude the Applicant's documented protected disclosures would contradict the very mischief the Amendment Bill seeks to remedy.</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Preliminary Note to the Registrar and Respondents</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Applicant is a self-represented litigant. This Statement of Claim is filed pursuant to Rule 6 of the Rules for the Conduct of Proceedings before the Labour Court following the issuing of Certificates of Non-Resolution by the CCMA (Case Nos. WECT23564-25 and WECT24486-25) on 9 January 2026. The Applicant respectfully requests that the Registrar and the Court apply the principle of equality of arms and afford the Applicant reasonable procedural latitude consistent with his self-represented status.</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A: Jurisdiction and Referral Basis</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This Court has jurisdiction to adjudicate this dispute in terms of section 157(1) of the Labour Relations Act 66 of 1995 ("the LRA"), which confers exclusive jurisdiction on the Labour Court in respect of any matter that the LRA requires to be determined by the Court.</w:t>
      </w:r>
    </w:p>
    <w:p>
      <w:pPr>
        <w:spacing w:after="80" w:before="40"/>
        <w:ind w:left="720" w:hanging="360"/>
        <w:jc w:val="both"/>
      </w:pPr>
      <w:r>
        <w:rPr>
          <w:rFonts w:ascii="Times New Roman" w:cs="Times New Roman" w:eastAsia="Times New Roman" w:hAnsi="Times New Roman"/>
          <w:b/>
          <w:bCs/>
          <w:sz w:val="240"/>
          <w:szCs w:val="240"/>
        </w:rPr>
        <w:t xml:space="preserve">2.</w:t>
      </w:r>
      <w:r>
        <w:rPr>
          <w:rFonts w:ascii="Times New Roman" w:cs="Times New Roman" w:eastAsia="Times New Roman" w:hAnsi="Times New Roman"/>
          <w:sz w:val="240"/>
          <w:szCs w:val="240"/>
        </w:rPr>
        <w:t xml:space="preserve">	The Applicant referred two disputes to the Commission for Conciliation, Mediation and Arbitration ("CCMA"):</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Case WECT23564-25: Unfair Labour Practice — unlawful salary deduction, discrimination, and victimisation; and</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Case WECT24486-25: Automatically Unfair Constructive Dismissal — retaliation for protected disclosures.</w:t>
      </w:r>
    </w:p>
    <w:p>
      <w:pPr>
        <w:spacing w:after="80" w:before="40"/>
        <w:ind w:left="720" w:hanging="360"/>
        <w:jc w:val="both"/>
      </w:pPr>
      <w:r>
        <w:rPr>
          <w:rFonts w:ascii="Times New Roman" w:cs="Times New Roman" w:eastAsia="Times New Roman" w:hAnsi="Times New Roman"/>
          <w:b/>
          <w:bCs/>
          <w:sz w:val="240"/>
          <w:szCs w:val="240"/>
        </w:rPr>
        <w:t xml:space="preserve">3.</w:t>
      </w:r>
      <w:r>
        <w:rPr>
          <w:rFonts w:ascii="Times New Roman" w:cs="Times New Roman" w:eastAsia="Times New Roman" w:hAnsi="Times New Roman"/>
          <w:sz w:val="240"/>
          <w:szCs w:val="240"/>
        </w:rPr>
        <w:t xml:space="preserve">	Conciliation was held on 9 January 2026. Certificates of Non-Resolution were issued on the same date (Annexure "Y"). The CCMA further confirmed, by letter from the Provincial Senior Commissioner dated 28 January 2026, that it lacks jurisdiction to arbitrate automatically unfair dismissal disputes and protected disclosure retaliation disputes, and directed the Applicant to the Labour Court.</w:t>
      </w:r>
    </w:p>
    <w:p>
      <w:pPr>
        <w:spacing w:after="80" w:before="40"/>
        <w:ind w:left="720" w:hanging="360"/>
        <w:jc w:val="both"/>
      </w:pPr>
      <w:r>
        <w:rPr>
          <w:rFonts w:ascii="Times New Roman" w:cs="Times New Roman" w:eastAsia="Times New Roman" w:hAnsi="Times New Roman"/>
          <w:b/>
          <w:bCs/>
          <w:sz w:val="240"/>
          <w:szCs w:val="240"/>
        </w:rPr>
        <w:t xml:space="preserve">4.</w:t>
      </w:r>
      <w:r>
        <w:rPr>
          <w:rFonts w:ascii="Times New Roman" w:cs="Times New Roman" w:eastAsia="Times New Roman" w:hAnsi="Times New Roman"/>
          <w:sz w:val="240"/>
          <w:szCs w:val="240"/>
        </w:rPr>
        <w:t xml:space="preserve">	This Statement of Claim is filed within the 90-day period prescribed by section 191(11)(a)(i) of the LRA, calculated from 9 January 2026. The filing deadline is on or before 9 April 2026. This Claim is accordingly timeously filed.</w:t>
      </w:r>
    </w:p>
    <w:p>
      <w:pPr>
        <w:spacing w:after="80" w:before="40"/>
        <w:ind w:left="720" w:hanging="360"/>
        <w:jc w:val="both"/>
      </w:pPr>
      <w:r>
        <w:rPr>
          <w:rFonts w:ascii="Times New Roman" w:cs="Times New Roman" w:eastAsia="Times New Roman" w:hAnsi="Times New Roman"/>
          <w:b/>
          <w:bCs/>
          <w:sz w:val="240"/>
          <w:szCs w:val="240"/>
        </w:rPr>
        <w:t xml:space="preserve">5.</w:t>
      </w:r>
      <w:r>
        <w:rPr>
          <w:rFonts w:ascii="Times New Roman" w:cs="Times New Roman" w:eastAsia="Times New Roman" w:hAnsi="Times New Roman"/>
          <w:sz w:val="240"/>
          <w:szCs w:val="240"/>
        </w:rPr>
        <w:t xml:space="preserve">	Additionally, in respect of the claim for automatically unfair dismissal under section 187(1)(h) of the LRA (protected disclosure retaliation), no period of prescription applies in terms of section 77(3) of the Basic Conditions of Employment Act 75 of 1997 ("BCEA"), read with section 16 of the Prescription Act 68 of 1969, as the cause of action arose from a continuing wrong that concluded upon the Applicant's resignation on 12 December 2025.</w:t>
      </w:r>
    </w:p>
    <w:p>
      <w:pPr>
        <w:spacing w:after="80" w:before="40"/>
        <w:ind w:left="720" w:hanging="360"/>
        <w:jc w:val="both"/>
      </w:pPr>
      <w:r>
        <w:rPr>
          <w:rFonts w:ascii="Times New Roman" w:cs="Times New Roman" w:eastAsia="Times New Roman" w:hAnsi="Times New Roman"/>
          <w:b/>
          <w:bCs/>
          <w:sz w:val="240"/>
          <w:szCs w:val="240"/>
        </w:rPr>
        <w:t xml:space="preserve">6.</w:t>
      </w:r>
      <w:r>
        <w:rPr>
          <w:rFonts w:ascii="Times New Roman" w:cs="Times New Roman" w:eastAsia="Times New Roman" w:hAnsi="Times New Roman"/>
          <w:sz w:val="240"/>
          <w:szCs w:val="240"/>
        </w:rPr>
        <w:t xml:space="preserve">	A further claim under section 77A of the BCEA for the unlawful salary deduction has been filed separately with this Court as Case No. 2026-077546 (Matthee v AfroCentric Health (RF) (Pty) Ltd). The Applicant requests that the Court consider consolidating the two matters in the interest of justice and procedural efficiency, alternatively notes the BCEA claim as a concurrent proceeding.</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B: The Parties</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The Applicant is Wilbur William Matthee, an adult male, a Registered Nurse (SANC No. 15831886), holding a Postgraduate Diploma in Health Services Management (SAQA ID 118316, NQF Level 8), awarded by the Cape Peninsula University of Technology with a 90% Distinction in Professional Development. He is a self-represented litigant residing in Cape Town, Western Cape. As a direct and proximate result of the Respondents' conduct, the Applicant is currently rendered destitute and unable to pay his SANC annual registration fee, and accordingly unable to practise as a registered nurse.</w:t>
      </w:r>
    </w:p>
    <w:p>
      <w:pPr>
        <w:spacing w:after="80" w:before="40"/>
        <w:ind w:left="720" w:hanging="360"/>
        <w:jc w:val="both"/>
      </w:pPr>
      <w:r>
        <w:rPr>
          <w:rFonts w:ascii="Times New Roman" w:cs="Times New Roman" w:eastAsia="Times New Roman" w:hAnsi="Times New Roman"/>
          <w:b/>
          <w:bCs/>
          <w:sz w:val="240"/>
          <w:szCs w:val="240"/>
        </w:rPr>
        <w:t xml:space="preserve">2.</w:t>
      </w:r>
      <w:r>
        <w:rPr>
          <w:rFonts w:ascii="Times New Roman" w:cs="Times New Roman" w:eastAsia="Times New Roman" w:hAnsi="Times New Roman"/>
          <w:sz w:val="240"/>
          <w:szCs w:val="240"/>
        </w:rPr>
        <w:t xml:space="preserve">	The First Respondent, AfroCentric Health (RF) (Pty) Ltd (Registration No. 1996/009540/07), is a private company incorporated and registered in South Africa, with its principal place of business at 37 Conrad Street, Florida North, Roodepoort, Gauteng. It is the holding company of the Second Respondent.</w:t>
      </w:r>
    </w:p>
    <w:p>
      <w:pPr>
        <w:spacing w:after="80" w:before="40"/>
        <w:ind w:left="720" w:hanging="360"/>
        <w:jc w:val="both"/>
      </w:pPr>
      <w:r>
        <w:rPr>
          <w:rFonts w:ascii="Times New Roman" w:cs="Times New Roman" w:eastAsia="Times New Roman" w:hAnsi="Times New Roman"/>
          <w:b/>
          <w:bCs/>
          <w:sz w:val="240"/>
          <w:szCs w:val="240"/>
        </w:rPr>
        <w:t xml:space="preserve">3.</w:t>
      </w:r>
      <w:r>
        <w:rPr>
          <w:rFonts w:ascii="Times New Roman" w:cs="Times New Roman" w:eastAsia="Times New Roman" w:hAnsi="Times New Roman"/>
          <w:sz w:val="240"/>
          <w:szCs w:val="240"/>
        </w:rPr>
        <w:t xml:space="preserve">	The Second Respondent, Medscheme Holdings (Pty) Ltd (Registration No. 1970/015014/07), is a wholly-owned subsidiary of the First Respondent and was the Applicant's direct employer at all material times. It is an accredited administrator of medical schemes registered under the Medical Schemes Act 131 of 1998, including the Government Employees Medical Scheme ("GEMS").</w:t>
      </w:r>
    </w:p>
    <w:p>
      <w:pPr>
        <w:spacing w:after="80" w:before="40"/>
        <w:ind w:left="720" w:hanging="360"/>
        <w:jc w:val="both"/>
      </w:pPr>
      <w:r>
        <w:rPr>
          <w:rFonts w:ascii="Times New Roman" w:cs="Times New Roman" w:eastAsia="Times New Roman" w:hAnsi="Times New Roman"/>
          <w:b/>
          <w:bCs/>
          <w:sz w:val="240"/>
          <w:szCs w:val="240"/>
        </w:rPr>
        <w:t xml:space="preserve">4.</w:t>
      </w:r>
      <w:r>
        <w:rPr>
          <w:rFonts w:ascii="Times New Roman" w:cs="Times New Roman" w:eastAsia="Times New Roman" w:hAnsi="Times New Roman"/>
          <w:sz w:val="240"/>
          <w:szCs w:val="240"/>
        </w:rPr>
        <w:t xml:space="preserve">	The directors and officers of the First Respondent (including Bruno Fernandes, Dr Nkateko Munisi, Alice le Roux, Gerald Van Wyk, and LSM Mpumlwana) and certain employees of the Second Respondent (Mary-Ann Jones, Mapule Mashele, Xolile Vincent Manyathi, and Lisa Mari) are not cited as formal respondents in this Statement of Claim. Their identities, roles, and conduct are fully set out herein. The Applicant reserves the right to apply for joinder of any or all of these persons in the event that the Court orders a personal liability enquiry pursuant to section 162 of the Companies Act 71 of 2008, section 60 of the Employment Equity Act 55 of 1998 ("EEA"), or section 4 of the PDA, or in any separate proceedings as the evidence may warrant.</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C: The Employment Relationship and the Bait-and-Switch</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With effect from 1 May 2024, the Applicant entered into a contract of employment with the Second Respondent in Cape Town, Western Cape.</w:t>
      </w:r>
    </w:p>
    <w:p>
      <w:pPr>
        <w:spacing w:after="80" w:before="40"/>
        <w:ind w:left="720" w:hanging="360"/>
        <w:jc w:val="both"/>
      </w:pPr>
      <w:r>
        <w:rPr>
          <w:rFonts w:ascii="Times New Roman" w:cs="Times New Roman" w:eastAsia="Times New Roman" w:hAnsi="Times New Roman"/>
          <w:b/>
          <w:bCs/>
          <w:sz w:val="240"/>
          <w:szCs w:val="240"/>
        </w:rPr>
        <w:t xml:space="preserve">2.</w:t>
      </w:r>
      <w:r>
        <w:rPr>
          <w:rFonts w:ascii="Times New Roman" w:cs="Times New Roman" w:eastAsia="Times New Roman" w:hAnsi="Times New Roman"/>
          <w:sz w:val="240"/>
          <w:szCs w:val="240"/>
        </w:rPr>
        <w:t xml:space="preserve">	In January 2024, the Applicant was recruited by the Second Respondent for the position of "Specialist: Care Manager". He received three separate interview invitations (Annexure "A") and underwent a fingerprint criminal check on 21 February 2024 (Annexure "C"). All recruitment documentation, including the assessment instructions issued on 29 January 2024 (Annexure "B"), described the position as a Specialist role.</w:t>
      </w:r>
    </w:p>
    <w:p>
      <w:pPr>
        <w:spacing w:after="80" w:before="40"/>
        <w:ind w:left="720" w:hanging="360"/>
        <w:jc w:val="both"/>
      </w:pPr>
      <w:r>
        <w:rPr>
          <w:rFonts w:ascii="Times New Roman" w:cs="Times New Roman" w:eastAsia="Times New Roman" w:hAnsi="Times New Roman"/>
          <w:b/>
          <w:bCs/>
          <w:sz w:val="240"/>
          <w:szCs w:val="240"/>
        </w:rPr>
        <w:t xml:space="preserve">3.</w:t>
      </w:r>
      <w:r>
        <w:rPr>
          <w:rFonts w:ascii="Times New Roman" w:cs="Times New Roman" w:eastAsia="Times New Roman" w:hAnsi="Times New Roman"/>
          <w:sz w:val="240"/>
          <w:szCs w:val="240"/>
        </w:rPr>
        <w:t xml:space="preserve">	However, the contract presented to the Applicant for signature on 9 April 2024 downgraded his position to "Care Coordinator" (Grade B4M1) at a cost-to-company of R490,032 per annum — without any prior notification of the change in designation (Annexure "D").</w:t>
      </w:r>
    </w:p>
    <w:p>
      <w:pPr>
        <w:spacing w:after="80" w:before="40"/>
        <w:ind w:left="720" w:hanging="360"/>
        <w:jc w:val="both"/>
      </w:pPr>
      <w:r>
        <w:rPr>
          <w:rFonts w:ascii="Times New Roman" w:cs="Times New Roman" w:eastAsia="Times New Roman" w:hAnsi="Times New Roman"/>
          <w:b/>
          <w:bCs/>
          <w:sz w:val="240"/>
          <w:szCs w:val="240"/>
        </w:rPr>
        <w:t xml:space="preserve">4.</w:t>
      </w:r>
      <w:r>
        <w:rPr>
          <w:rFonts w:ascii="Times New Roman" w:cs="Times New Roman" w:eastAsia="Times New Roman" w:hAnsi="Times New Roman"/>
          <w:sz w:val="240"/>
          <w:szCs w:val="240"/>
        </w:rPr>
        <w:t xml:space="preserve">	This deliberate act of title suppression constituted a "bait-and-switch": the Applicant was recruited and utilised as an NQF Level 8 Specialist but was officially designated as a junior "Care Coordinator" to:</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avoid paying a remuneration package commensurate with a Specialist;</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suppress his management status in employment records, certificates of service, and UIF declarations; and</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facilitate potential B-BBEE fronting, in respect of which the B-BBEE Commission has allocated Case No. 5/02/2026.</w:t>
      </w:r>
    </w:p>
    <w:p>
      <w:pPr>
        <w:spacing w:after="80" w:before="40"/>
        <w:ind w:left="720" w:hanging="360"/>
        <w:jc w:val="both"/>
      </w:pPr>
      <w:r>
        <w:rPr>
          <w:rFonts w:ascii="Times New Roman" w:cs="Times New Roman" w:eastAsia="Times New Roman" w:hAnsi="Times New Roman"/>
          <w:b/>
          <w:bCs/>
          <w:sz w:val="240"/>
          <w:szCs w:val="240"/>
        </w:rPr>
        <w:t xml:space="preserve">5.</w:t>
      </w:r>
      <w:r>
        <w:rPr>
          <w:rFonts w:ascii="Times New Roman" w:cs="Times New Roman" w:eastAsia="Times New Roman" w:hAnsi="Times New Roman"/>
          <w:sz w:val="240"/>
          <w:szCs w:val="240"/>
        </w:rPr>
        <w:t xml:space="preserve">	In support of the assertion that the Applicant performed Specialist-level functions, it is noted that during his employment he was appointed as Acting Chairperson of the Employee Health and Safety (EHS) Committee and as Lead First Aider for the 2nd, 3rd and 4th floors of the Second Respondent's premises. On 25 July 2025, the Applicant drafted and implemented a First Aider roster covering all three floors and issued directives to team leaders regarding occupational health and safety compliance — functions that no "Care Coordinator" would perform (Annexure "E"). These responsibilities constitute operational management control and confirm that his true role was that of a Health Services Management Specialist (NQF Level 8).</w:t>
      </w:r>
    </w:p>
    <w:p>
      <w:pPr>
        <w:spacing w:after="80" w:before="40"/>
        <w:ind w:left="720" w:hanging="360"/>
        <w:jc w:val="both"/>
      </w:pPr>
      <w:r>
        <w:rPr>
          <w:rFonts w:ascii="Times New Roman" w:cs="Times New Roman" w:eastAsia="Times New Roman" w:hAnsi="Times New Roman"/>
          <w:b/>
          <w:bCs/>
          <w:sz w:val="240"/>
          <w:szCs w:val="240"/>
        </w:rPr>
        <w:t xml:space="preserve">6.</w:t>
      </w:r>
      <w:r>
        <w:rPr>
          <w:rFonts w:ascii="Times New Roman" w:cs="Times New Roman" w:eastAsia="Times New Roman" w:hAnsi="Times New Roman"/>
          <w:sz w:val="240"/>
          <w:szCs w:val="240"/>
        </w:rPr>
        <w:t xml:space="preserve">	The Senior HR Business Partner, Cheryl-Dawn Modern, confirmed in writing on 19 January 2026 that the "naming convention changes [were] still in progress" — an admission that the Applicant's designation had not been updated to reflect his true role, and that the Certificate of Service issued to him is therefore inaccurate.</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D: Mental Health Disclosure and Failure to Accommodate</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From 18 March 2025, the Applicant was admitted as an inpatient at Akeso Stepping Stones Clinic for severe depression and post-traumatic stress disorder ("PTSD"). A sick note issued by his treating psychiatrist, Dr Jacques Malan, is attached as Annexure "F".</w:t>
      </w:r>
    </w:p>
    <w:p>
      <w:pPr>
        <w:spacing w:after="80" w:before="40"/>
        <w:ind w:left="720" w:hanging="360"/>
        <w:jc w:val="both"/>
      </w:pPr>
      <w:r>
        <w:rPr>
          <w:rFonts w:ascii="Times New Roman" w:cs="Times New Roman" w:eastAsia="Times New Roman" w:hAnsi="Times New Roman"/>
          <w:b/>
          <w:bCs/>
          <w:sz w:val="240"/>
          <w:szCs w:val="240"/>
        </w:rPr>
        <w:t xml:space="preserve">2.</w:t>
      </w:r>
      <w:r>
        <w:rPr>
          <w:rFonts w:ascii="Times New Roman" w:cs="Times New Roman" w:eastAsia="Times New Roman" w:hAnsi="Times New Roman"/>
          <w:sz w:val="240"/>
          <w:szCs w:val="240"/>
        </w:rPr>
        <w:t xml:space="preserve">	On 16 May 2025, the Applicant provided Dr Malan's psychiatric letter to Mapule Mashele (Senior Manager, Second Respondent), placing the Second Respondent on formal written notice of his disability within the meaning of section 1 of the EEA and his need for reasonable accommodation (Annexure "G").</w:t>
      </w:r>
    </w:p>
    <w:p>
      <w:pPr>
        <w:spacing w:after="80" w:before="40"/>
        <w:ind w:left="720" w:hanging="360"/>
        <w:jc w:val="both"/>
      </w:pPr>
      <w:r>
        <w:rPr>
          <w:rFonts w:ascii="Times New Roman" w:cs="Times New Roman" w:eastAsia="Times New Roman" w:hAnsi="Times New Roman"/>
          <w:b/>
          <w:bCs/>
          <w:sz w:val="240"/>
          <w:szCs w:val="240"/>
        </w:rPr>
        <w:t xml:space="preserve">3.</w:t>
      </w:r>
      <w:r>
        <w:rPr>
          <w:rFonts w:ascii="Times New Roman" w:cs="Times New Roman" w:eastAsia="Times New Roman" w:hAnsi="Times New Roman"/>
          <w:sz w:val="240"/>
          <w:szCs w:val="240"/>
        </w:rPr>
        <w:t xml:space="preserve">	Notwithstanding this formal notification, Mary-Ann Jones (Team Leader, Second Respondent) failed to provide reasonable accommodation. Specifically:</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On 16 April 2025, Jones stated in writing: "we do not apply staggering of money owed" — a position the Second Respondent later deployed to justify the unlawful deduction (Annexure "H");</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On 7 May 2025, the Applicant requested staggering of unpaid leave deductions; Jones declined; and</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On 20–21 May 2025, the Applicant suffered a medical crisis and was required to leave the workplace to obtain medication; Jones instructed him to log unpaid leave, thereby applying a punitive response to a medical emergency.</w:t>
      </w:r>
    </w:p>
    <w:p>
      <w:pPr>
        <w:spacing w:after="80" w:before="40"/>
        <w:ind w:left="720" w:hanging="360"/>
        <w:jc w:val="both"/>
      </w:pPr>
      <w:r>
        <w:rPr>
          <w:rFonts w:ascii="Times New Roman" w:cs="Times New Roman" w:eastAsia="Times New Roman" w:hAnsi="Times New Roman"/>
          <w:b/>
          <w:bCs/>
          <w:sz w:val="240"/>
          <w:szCs w:val="240"/>
        </w:rPr>
        <w:t xml:space="preserve">4.</w:t>
      </w:r>
      <w:r>
        <w:rPr>
          <w:rFonts w:ascii="Times New Roman" w:cs="Times New Roman" w:eastAsia="Times New Roman" w:hAnsi="Times New Roman"/>
          <w:sz w:val="240"/>
          <w:szCs w:val="240"/>
        </w:rPr>
        <w:t xml:space="preserve">	The Respondents' failure to provide reasonable accommodation to an employee with a documented disability, of which they had formal written notice, constitutes:</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unfair discrimination on the ground of disability in terms of section 6(1) of the EEA, read with section 7(b)(iii) of the Code of Good Practice on the Employment of Persons with Disabilities; and</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a failure to comply with the duty to take all reasonable steps to prevent unfair discrimination under section 60 of the EEA.</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E: The Unlawful Salary Deduction — BCEA Section 34(2)</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In July 2025, while the Applicant was between psychiatric admissions and while the Respondents were in possession of Dr Malan's letter confirming his medical vulnerability and need for accommodation, the Second Respondent deducted the sum of R14,811.77 (representing 40.47% of his gross monthly salary) in a single pay cycle, leaving him with a net pay of R15,679.29. The payslip is attached as Annexure "I".</w:t>
      </w:r>
    </w:p>
    <w:p>
      <w:pPr>
        <w:spacing w:after="80" w:before="40"/>
        <w:ind w:left="720" w:hanging="360"/>
        <w:jc w:val="both"/>
      </w:pPr>
      <w:r>
        <w:rPr>
          <w:rFonts w:ascii="Times New Roman" w:cs="Times New Roman" w:eastAsia="Times New Roman" w:hAnsi="Times New Roman"/>
          <w:b/>
          <w:bCs/>
          <w:sz w:val="240"/>
          <w:szCs w:val="240"/>
        </w:rPr>
        <w:t xml:space="preserve">2.</w:t>
      </w:r>
      <w:r>
        <w:rPr>
          <w:rFonts w:ascii="Times New Roman" w:cs="Times New Roman" w:eastAsia="Times New Roman" w:hAnsi="Times New Roman"/>
          <w:sz w:val="240"/>
          <w:szCs w:val="240"/>
        </w:rPr>
        <w:t xml:space="preserve">	This deduction was made:</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without any prior written agreement or written consent as required by section 34(1) of the BCEA;</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in excess of the 25% cap imposed by section 34(2) of the BCEA;</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without any prior consultation with the Applicant, despite his express earlier request for staggering; and</w:t>
      </w:r>
    </w:p>
    <w:p>
      <w:pPr>
        <w:spacing w:after="80" w:before="40"/>
        <w:ind w:left="1080" w:hanging="360"/>
        <w:jc w:val="both"/>
      </w:pPr>
      <w:r>
        <w:rPr>
          <w:rFonts w:ascii="Times New Roman" w:cs="Times New Roman" w:eastAsia="Times New Roman" w:hAnsi="Times New Roman"/>
          <w:sz w:val="240"/>
          <w:szCs w:val="240"/>
        </w:rPr>
        <w:t xml:space="preserve">(d)</w:t>
      </w:r>
      <w:r>
        <w:rPr>
          <w:rFonts w:ascii="Times New Roman" w:cs="Times New Roman" w:eastAsia="Times New Roman" w:hAnsi="Times New Roman"/>
          <w:sz w:val="240"/>
          <w:szCs w:val="240"/>
        </w:rPr>
        <w:t xml:space="preserve">	in breach of the Second Respondent's own HCBP Policy, which also imposes a 25% cap and requires prior consultation.</w:t>
      </w:r>
    </w:p>
    <w:p>
      <w:pPr>
        <w:spacing w:after="80" w:before="40"/>
        <w:ind w:left="720" w:hanging="360"/>
        <w:jc w:val="both"/>
      </w:pPr>
      <w:r>
        <w:rPr>
          <w:rFonts w:ascii="Times New Roman" w:cs="Times New Roman" w:eastAsia="Times New Roman" w:hAnsi="Times New Roman"/>
          <w:b/>
          <w:bCs/>
          <w:sz w:val="240"/>
          <w:szCs w:val="240"/>
        </w:rPr>
        <w:t xml:space="preserve">3.</w:t>
      </w:r>
      <w:r>
        <w:rPr>
          <w:rFonts w:ascii="Times New Roman" w:cs="Times New Roman" w:eastAsia="Times New Roman" w:hAnsi="Times New Roman"/>
          <w:sz w:val="240"/>
          <w:szCs w:val="240"/>
        </w:rPr>
        <w:t xml:space="preserve">	On 24 July 2025, Jones shared the AOD Policy confirming: "monthly deductions must not be more than 25% of the employees CTC as per legislation" (Annexure "J"). When the Applicant pointed out that the deduction was therefore unlawful, Jones replied: "Hi Wilbur, what is illegal?" — feigning ignorance of the very statutory cap she had just confirmed. This exchange constitutes direct evidence that the Second Respondent was aware of the legal prohibition and proceeded regardless.</w:t>
      </w:r>
    </w:p>
    <w:p>
      <w:pPr>
        <w:spacing w:after="80" w:before="40"/>
        <w:ind w:left="720" w:hanging="360"/>
        <w:jc w:val="both"/>
      </w:pPr>
      <w:r>
        <w:rPr>
          <w:rFonts w:ascii="Times New Roman" w:cs="Times New Roman" w:eastAsia="Times New Roman" w:hAnsi="Times New Roman"/>
          <w:b/>
          <w:bCs/>
          <w:sz w:val="240"/>
          <w:szCs w:val="240"/>
        </w:rPr>
        <w:t xml:space="preserve">4.</w:t>
      </w:r>
      <w:r>
        <w:rPr>
          <w:rFonts w:ascii="Times New Roman" w:cs="Times New Roman" w:eastAsia="Times New Roman" w:hAnsi="Times New Roman"/>
          <w:sz w:val="240"/>
          <w:szCs w:val="240"/>
        </w:rPr>
        <w:t xml:space="preserve">	The deduction contravenes section 34(2) of the BCEA. The Applicant is accordingly entitled to recover R14,811.77 together with interest at the prescribed rate from 23 July 2025 to date of payment in terms of section 77A of the BCEA. The Applicant notes that a separate civil claim for this amount has been filed in this Court as Case No. 2026-077546.</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F: Gender Identity Discrimination — The "Wilma" Incident</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On 23 September 2025, immediately after the Applicant proposed a clinical filtering strategy to improve the operational management of member adherence cases, Jones posted a message in a team-wide Microsoft Teams channel in which she:</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referred to the Applicant as "Wilma" — a feminised version of his name, knowing the Applicant is gay; and</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in the same message, prohibited the Applicant's filtering strategy with the words "NO FILTERING" highlighted in red.</w:t>
      </w:r>
    </w:p>
    <w:p>
      <w:pPr>
        <w:spacing w:after="80" w:before="40"/>
        <w:ind w:left="720" w:hanging="360"/>
        <w:jc w:val="both"/>
      </w:pPr>
      <w:r>
        <w:rPr>
          <w:rFonts w:ascii="Times New Roman" w:cs="Times New Roman" w:eastAsia="Times New Roman" w:hAnsi="Times New Roman"/>
          <w:b/>
          <w:bCs/>
          <w:sz w:val="240"/>
          <w:szCs w:val="240"/>
        </w:rPr>
        <w:t xml:space="preserve">2.</w:t>
      </w:r>
      <w:r>
        <w:rPr>
          <w:rFonts w:ascii="Times New Roman" w:cs="Times New Roman" w:eastAsia="Times New Roman" w:hAnsi="Times New Roman"/>
          <w:sz w:val="240"/>
          <w:szCs w:val="240"/>
        </w:rPr>
        <w:t xml:space="preserve">	The temporal and contextual nexus between the Applicant's clinical proposal and Jones's response is direct: the feminisation of his name and the simultaneous rejection of his strategy in a team-wide communication constitutes harassment on the grounds of gender identity and sexual orientation within the meaning of section 6(3) of the EEA, read with clause 3.6 of the Code of Good Practice on the Handling of Sexual Harassment Cases in the Workplace.</w:t>
      </w:r>
    </w:p>
    <w:p>
      <w:pPr>
        <w:spacing w:after="80" w:before="40"/>
        <w:ind w:left="720" w:hanging="360"/>
        <w:jc w:val="both"/>
      </w:pPr>
      <w:r>
        <w:rPr>
          <w:rFonts w:ascii="Times New Roman" w:cs="Times New Roman" w:eastAsia="Times New Roman" w:hAnsi="Times New Roman"/>
          <w:b/>
          <w:bCs/>
          <w:sz w:val="240"/>
          <w:szCs w:val="240"/>
        </w:rPr>
        <w:t xml:space="preserve">3.</w:t>
      </w:r>
      <w:r>
        <w:rPr>
          <w:rFonts w:ascii="Times New Roman" w:cs="Times New Roman" w:eastAsia="Times New Roman" w:hAnsi="Times New Roman"/>
          <w:sz w:val="240"/>
          <w:szCs w:val="240"/>
        </w:rPr>
        <w:t xml:space="preserve">	On 25 September 2025, the Applicant lodged a formal complaint of sexual orientation discrimination and harassment with Human Resources, requesting: a neutral investigator; that he not be required to meet with the accused manager; that Jones be suspended pending investigation; and that he be removed from Jones's reporting line (Annexure "L").</w:t>
      </w:r>
    </w:p>
    <w:p>
      <w:pPr>
        <w:spacing w:after="80" w:before="40"/>
        <w:ind w:left="720" w:hanging="360"/>
        <w:jc w:val="both"/>
      </w:pPr>
      <w:r>
        <w:rPr>
          <w:rFonts w:ascii="Times New Roman" w:cs="Times New Roman" w:eastAsia="Times New Roman" w:hAnsi="Times New Roman"/>
          <w:b/>
          <w:bCs/>
          <w:sz w:val="240"/>
          <w:szCs w:val="240"/>
        </w:rPr>
        <w:t xml:space="preserve">4.</w:t>
      </w:r>
      <w:r>
        <w:rPr>
          <w:rFonts w:ascii="Times New Roman" w:cs="Times New Roman" w:eastAsia="Times New Roman" w:hAnsi="Times New Roman"/>
          <w:sz w:val="240"/>
          <w:szCs w:val="240"/>
        </w:rPr>
        <w:t xml:space="preserve">	The HR response was inadequate:</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The Applicant was told he would not be required to meet Jones, but he was never removed from her reporting line — leaving him directly exposed to further retaliation;</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On 29 September 2025 — the same day the formal complaint was filed — Jones loaded a double punitive unpaid leave entry against the Applicant. Mapule Mashele reversed the entry on 1 October 2025, confirming that it was discretionary and retaliatory; and</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On 1 October 2025, Mapule Mashele closed the investigation, concluding that Jones's use of "Wilma" was a "typo" — a manifestly inadequate finding that ignored the Applicant's May 2025 disclosure of Jones's hostile conduct, the immediate context (clinical proposal being simultaneously rejected), and the team-wide visibility of the message. The closure report is attached as Annexure "M".</w:t>
      </w:r>
    </w:p>
    <w:p>
      <w:pPr>
        <w:spacing w:after="80" w:before="40"/>
        <w:ind w:left="720" w:hanging="360"/>
        <w:jc w:val="both"/>
      </w:pPr>
      <w:r>
        <w:rPr>
          <w:rFonts w:ascii="Times New Roman" w:cs="Times New Roman" w:eastAsia="Times New Roman" w:hAnsi="Times New Roman"/>
          <w:b/>
          <w:bCs/>
          <w:sz w:val="240"/>
          <w:szCs w:val="240"/>
        </w:rPr>
        <w:t xml:space="preserve">5.</w:t>
      </w:r>
      <w:r>
        <w:rPr>
          <w:rFonts w:ascii="Times New Roman" w:cs="Times New Roman" w:eastAsia="Times New Roman" w:hAnsi="Times New Roman"/>
          <w:sz w:val="240"/>
          <w:szCs w:val="240"/>
        </w:rPr>
        <w:t xml:space="preserve">	The Respondents' failure to take reasonable steps to prevent and address the harassment constitutes a contravention of section 60 of the EEA. The discriminatory conduct and the whitewash investigation constitute unfair discrimination in terms of section 6(1) of the EEA on the grounds of sexual orientation and/or gender identity.</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G: Protected Disclosures — Patient Safety (Gexus/DMS Integration Gap) and Statutory Obligation to Report</w:t>
      </w:r>
    </w:p>
    <w:p>
      <w:pPr>
        <w:spacing w:after="80" w:before="180"/>
      </w:pPr>
      <w:r>
        <w:rPr>
          <w:rFonts w:ascii="Times New Roman" w:cs="Times New Roman" w:eastAsia="Times New Roman" w:hAnsi="Times New Roman"/>
          <w:b/>
          <w:bCs/>
          <w:sz w:val="240"/>
          <w:szCs w:val="240"/>
          <w:u w:val="single"/>
        </w:rPr>
        <w:t xml:space="preserve">G1. The Statutory Obligation to Report (SAQA / NQF / Nursing Act)</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Applicant holds a Postgraduate Diploma in Health Services Management (SAQA ID 118316, NQF Level 8) registered on the National Qualifications Framework under the NQF Act 67 of 2008. Its Exit Level Outcomes (ELOs) are not merely academic achievements — they are statutory professional obligations imposed by Parliament through the South African Nursing Council (SANC) and the South African Qualifications Authority (SAQA). Specifically:</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ELO 2 requires the holder to: "identify and apply legislative and regulatory requirements pertaining to healthcare management … and advocate for safe and quality care";</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ELO 5 requires the holder to: "apply evidence-based solutions grounded in management processes"; and</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ELO 6 requires the holder to: "draw a strategic plan for managing risks and adverse events in a healthcare service and develop a quality assurance programme on a risk identified in a unit".</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When the Applicant identified the Gexus-DMS integration failure — a Priority 1 clinical governance risk generating clinically incorrect non-adherence letters to elderly GEMS beneficiaries — and delivered a formal Priority 1 Material Risk Report with 38 attachments to the board on 9 December 2025, he was not acting outside his employment mandate. He was fulfilling a statutory obligation imposed by his NQF-registered qualification, the NQF Act, and the Nursing Act. The full statutory argument is set out in Annexure "P1 RISK" (NQF Mandate) attached hereto.</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Respondents cannot lawfully characterise a statutorily mandated patient safety report as "insubordination" or "misconduct". To do so would bring the NQF Act, SAQA, SANC, and Parliament into disrepute.</w:t>
      </w:r>
    </w:p>
    <w:p>
      <w:pPr>
        <w:spacing w:after="80" w:before="180"/>
      </w:pPr>
      <w:r>
        <w:rPr>
          <w:rFonts w:ascii="Times New Roman" w:cs="Times New Roman" w:eastAsia="Times New Roman" w:hAnsi="Times New Roman"/>
          <w:b/>
          <w:bCs/>
          <w:sz w:val="240"/>
          <w:szCs w:val="240"/>
          <w:u w:val="single"/>
        </w:rPr>
        <w:t xml:space="preserve">G2. The Protected Disclosure of 23 October 2025</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On 23 October 2025, the Applicant made a protected disclosure to Jones, copied to Lisa Mari (Responsible Pharmacist, Second Respondent), identifying the systemic structural integration gap between the Gexus and DMS platforms that was generating false non-adherence letters to GEMS members, including a 75-year-old dependent (Annexure "N").</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disclosure constitutes a protected disclosure within the meaning of section 1 of the PDA in that it related to:</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a failure to comply with a legal obligation, namely the Responsible Pharmacist's obligation under section 49 of the Pharmacy Act 53 of 1974 to ensure the integrity of pharmaceutical care communications; and</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conduct likely to endanger the health or safety of any individual, namely GEMS members receiving clinically incorrect adherence assessments.</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Applicant's root cause analysis confirmed that the integration gap was structural — not an isolated error — affecting any member transitioning between benefit categories. He stated: "Given that the integration gap still exists, I will not contact the member at this time." Jones responded: "The below is noted. I am not in agreement with your feedback though." Lisa Mari, as Responsible Pharmacist, did not intervene to correct the system error.</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Applicant was subsequently:</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labelled as "insubordinate" for declining to contact a vulnerable patient on clinically incorrect grounds;</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excluded from the resolution process for the integration error he had identified; and</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compelled to issue a forced apology to Mary-Ann Jones on 23 October 2025 for "poor communication and failure to comply" — an apology extracted under constructive duress for a legitimate patient safety disclosure.</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Applicant's disclosure, and the adverse treatment that followed it, engage both section 3 of the PDA (prohibition on occupational detriment for making a protected disclosure) and section 187(1)(h) of the LRA (automatically unfair dismissal where the reason for dismissal is the making of a protected disclosure).</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H: Misappropriation of Intellectual Property — CPD Programme</w:t>
      </w:r>
    </w:p>
    <w:tbl>
      <w:tblPr>
        <w:tblW w:type="dxa" w:w="9026"/>
        <w:tblBorders>
          <w:top w:val="single" w:color="B8860B" w:sz="4"/>
          <w:left w:val="thick" w:color="B8860B" w:sz="8"/>
          <w:bottom w:val="single" w:color="B8860B" w:sz="4"/>
          <w:right w:val="single" w:color="B8860B" w:sz="4"/>
          <w:insideH w:val="single" w:color="auto" w:sz="4"/>
          <w:insideV w:val="single" w:color="auto" w:sz="4"/>
        </w:tblBorders>
      </w:tblPr>
      <w:tblGrid>
        <w:gridCol w:w="100"/>
      </w:tblGrid>
      <w:tr>
        <w:tc>
          <w:tcPr>
            <w:tcW w:type="dxa" w:w="9026"/>
            <w:shd w:fill="FFFDE7" w:val="clear"/>
            <w:tcMar>
              <w:top w:type="dxa" w:w="120"/>
              <w:left w:type="dxa" w:w="200"/>
              <w:bottom w:type="dxa" w:w="120"/>
              <w:right w:type="dxa" w:w="200"/>
            </w:tcMar>
          </w:tcPr>
          <w:p>
            <w:pPr>
              <w:spacing w:after="40" w:before="40"/>
              <w:jc w:val="both"/>
            </w:pPr>
            <w:r>
              <w:rPr>
                <w:rFonts w:ascii="Times New Roman" w:cs="Times New Roman" w:eastAsia="Times New Roman" w:hAnsi="Times New Roman"/>
                <w:i/>
                <w:iCs/>
                <w:sz w:val="220"/>
                <w:szCs w:val="220"/>
              </w:rPr>
              <w:t xml:space="preserve">Pleaded only as evidence of bad faith and retaliation. Substantive intellectual property claim expressly reserved. No relief in respect of the CPD programme is sought in this Statement of Claim save as set out in paragraphs 2 and 3 below.</w:t>
            </w:r>
          </w:p>
        </w:tc>
      </w:tr>
    </w:tbl>
    <w:p>
      <w:pPr>
        <w:spacing w:after="80" w:before="0"/>
      </w:pPr>
    </w:p>
    <w:p>
      <w:pPr>
        <w:spacing w:after="80" w:before="180"/>
      </w:pPr>
      <w:r>
        <w:rPr>
          <w:rFonts w:ascii="Times New Roman" w:cs="Times New Roman" w:eastAsia="Times New Roman" w:hAnsi="Times New Roman"/>
          <w:b/>
          <w:bCs/>
          <w:sz w:val="240"/>
          <w:szCs w:val="240"/>
          <w:u w:val="single"/>
        </w:rPr>
        <w:t xml:space="preserve">1. Factual Timeline of the CPD Programme Development and Misappropriation</w:t>
      </w:r>
    </w:p>
    <w:p>
      <w:pPr>
        <w:spacing w:after="80" w:before="40"/>
        <w:ind w:left="720" w:hanging="360"/>
        <w:jc w:val="both"/>
      </w:pPr>
      <w:r>
        <w:rPr>
          <w:rFonts w:ascii="Times New Roman" w:cs="Times New Roman" w:eastAsia="Times New Roman" w:hAnsi="Times New Roman"/>
          <w:b/>
          <w:bCs/>
          <w:sz w:val="240"/>
          <w:szCs w:val="240"/>
        </w:rPr>
        <w:t xml:space="preserve">1.1</w:t>
      </w:r>
      <w:r>
        <w:rPr>
          <w:rFonts w:ascii="Times New Roman" w:cs="Times New Roman" w:eastAsia="Times New Roman" w:hAnsi="Times New Roman"/>
          <w:sz w:val="240"/>
          <w:szCs w:val="240"/>
        </w:rPr>
        <w:t xml:space="preserve">	In April 2025, the Applicant developed a comprehensive Continuing Professional Development ("CPD") programme for nursing staff within the Second Respondent's clinical operations. The programme was designed as a direct application of the Applicant's NQF Level 8 Professional Development competency and was presented to the Second Respondent's management as a bespoke professional development offering.</w:t>
      </w:r>
    </w:p>
    <w:p>
      <w:pPr>
        <w:spacing w:after="80" w:before="40"/>
        <w:ind w:left="720" w:hanging="360"/>
        <w:jc w:val="both"/>
      </w:pPr>
      <w:r>
        <w:rPr>
          <w:rFonts w:ascii="Times New Roman" w:cs="Times New Roman" w:eastAsia="Times New Roman" w:hAnsi="Times New Roman"/>
          <w:b/>
          <w:bCs/>
          <w:sz w:val="240"/>
          <w:szCs w:val="240"/>
        </w:rPr>
        <w:t xml:space="preserve">1.2</w:t>
      </w:r>
      <w:r>
        <w:rPr>
          <w:rFonts w:ascii="Times New Roman" w:cs="Times New Roman" w:eastAsia="Times New Roman" w:hAnsi="Times New Roman"/>
          <w:sz w:val="240"/>
          <w:szCs w:val="240"/>
        </w:rPr>
        <w:t xml:space="preserve">	The programme was developed independently by the Applicant in his personal capacity, drawing on his professional qualifications and clinical governance experience. No request for its development had been made by the Second Respondent's management, and no institutional resources were applied to its creation.</w:t>
      </w:r>
    </w:p>
    <w:p>
      <w:pPr>
        <w:spacing w:after="80" w:before="40"/>
        <w:ind w:left="720" w:hanging="360"/>
        <w:jc w:val="both"/>
      </w:pPr>
      <w:r>
        <w:rPr>
          <w:rFonts w:ascii="Times New Roman" w:cs="Times New Roman" w:eastAsia="Times New Roman" w:hAnsi="Times New Roman"/>
          <w:b/>
          <w:bCs/>
          <w:sz w:val="240"/>
          <w:szCs w:val="240"/>
        </w:rPr>
        <w:t xml:space="preserve">1.3</w:t>
      </w:r>
      <w:r>
        <w:rPr>
          <w:rFonts w:ascii="Times New Roman" w:cs="Times New Roman" w:eastAsia="Times New Roman" w:hAnsi="Times New Roman"/>
          <w:sz w:val="240"/>
          <w:szCs w:val="240"/>
        </w:rPr>
        <w:t xml:space="preserve">	The Second Respondent's management rejected the programme in April 2025. No feedback, refinement request, or acknowledgment of the Applicant's authorship was provided at that time.</w:t>
      </w:r>
    </w:p>
    <w:p>
      <w:pPr>
        <w:spacing w:after="80" w:before="40"/>
        <w:ind w:left="720" w:hanging="360"/>
        <w:jc w:val="both"/>
      </w:pPr>
      <w:r>
        <w:rPr>
          <w:rFonts w:ascii="Times New Roman" w:cs="Times New Roman" w:eastAsia="Times New Roman" w:hAnsi="Times New Roman"/>
          <w:b/>
          <w:bCs/>
          <w:sz w:val="240"/>
          <w:szCs w:val="240"/>
        </w:rPr>
        <w:t xml:space="preserve">1.4</w:t>
      </w:r>
      <w:r>
        <w:rPr>
          <w:rFonts w:ascii="Times New Roman" w:cs="Times New Roman" w:eastAsia="Times New Roman" w:hAnsi="Times New Roman"/>
          <w:sz w:val="240"/>
          <w:szCs w:val="240"/>
        </w:rPr>
        <w:t xml:space="preserve">	In October 2025 — approximately six months after the Applicant's submission and without any notice to, consultation with, or attribution of the Applicant — the Second Respondent's management silently implemented the CPD programme across the department. The Applicant was not informed of the implementation. He received no credit, no acknowledgment, no compensation, and no opportunity to participate in or refine the programme he had authored.</w:t>
      </w:r>
    </w:p>
    <w:p>
      <w:pPr>
        <w:spacing w:after="80" w:before="180"/>
      </w:pPr>
      <w:r>
        <w:rPr>
          <w:rFonts w:ascii="Times New Roman" w:cs="Times New Roman" w:eastAsia="Times New Roman" w:hAnsi="Times New Roman"/>
          <w:b/>
          <w:bCs/>
          <w:sz w:val="240"/>
          <w:szCs w:val="240"/>
          <w:u w:val="single"/>
        </w:rPr>
        <w:t xml:space="preserve">2. Evidentiary Value of the Misappropriation</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Applicant pleads the facts set out in paragraph 1 above not as a standalone claim for copyright infringement or damages in these proceedings, but as evidence of the following:</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Bad faith on the part of the Respondents: The decision to reject the Applicant's programme in April 2025 (when he was an employee in good standing) and then silently implement the same programme in October 2025 (after he had made protected disclosures and was being subjected to retaliation) demonstrates that the rejection was not based on the programme's quality or merit. The programme was always fit for purpose. The rejection was a tactical act of professional suppression. The subsequent implementation without attribution was an act of appropriation designed to erase the Applicant's authorship and deny him the professional recognition to which his qualifications entitled him.</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Retaliatory intent: The timing of the implementation (October 2025) coincides directly with the period in which the Applicant's protected disclosures (Part G) and formal discrimination complaint (Part F) were being whitewashed or ignored. The decision to appropriate the Applicant's intellectual work while simultaneously labelling him "insubordinate" and threatening him with a counter-harassment case (Part I) forms part of a single, coherent pattern of retaliation.</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Institutional bad faith supporting aggravated costs: The misappropriation is pleaded in support of the Applicant's prayer for costs on an attorney-and-client scale (prayer R.10). A respondent that rejects an employee's professional work and then secretly implements the same work without credit, while litigating against that employee in bad faith, engages in conduct that warrants a punitive costs order.</w:t>
      </w:r>
    </w:p>
    <w:p>
      <w:pPr>
        <w:spacing w:after="80" w:before="180"/>
      </w:pPr>
      <w:r>
        <w:rPr>
          <w:rFonts w:ascii="Times New Roman" w:cs="Times New Roman" w:eastAsia="Times New Roman" w:hAnsi="Times New Roman"/>
          <w:b/>
          <w:bCs/>
          <w:sz w:val="240"/>
          <w:szCs w:val="240"/>
          <w:u w:val="single"/>
        </w:rPr>
        <w:t xml:space="preserve">3. Causal Link to the Respondents' Pattern of Conduct</w:t>
      </w:r>
    </w:p>
    <w:p>
      <w:pPr>
        <w:spacing w:after="80" w:before="40"/>
        <w:ind w:left="720" w:hanging="360"/>
        <w:jc w:val="both"/>
      </w:pPr>
      <w:r>
        <w:rPr>
          <w:rFonts w:ascii="Times New Roman" w:cs="Times New Roman" w:eastAsia="Times New Roman" w:hAnsi="Times New Roman"/>
          <w:b/>
          <w:bCs/>
          <w:sz w:val="240"/>
          <w:szCs w:val="240"/>
        </w:rPr>
        <w:t xml:space="preserve">3.1</w:t>
      </w:r>
      <w:r>
        <w:rPr>
          <w:rFonts w:ascii="Times New Roman" w:cs="Times New Roman" w:eastAsia="Times New Roman" w:hAnsi="Times New Roman"/>
          <w:sz w:val="240"/>
          <w:szCs w:val="240"/>
        </w:rPr>
        <w:t xml:space="preserve">	The misappropriation of the CPD programme is not an isolated act. It forms part of the Respondents' broader pattern of conduct, which includes:</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Suppressing the Applicant's professional contributions (the Priority 1 Material Risk Report);</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Appropriating his expertise without recognition (the CPD programme);</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Attacking his professional character under oath (the opposing affidavit deposed to by Xolile Vincent Manyathi, addressed in Part K); and</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Systematically erasing his professional identity (suppressed job title, false Certificate of Service, denial of management status).</w:t>
      </w:r>
    </w:p>
    <w:p>
      <w:pPr>
        <w:spacing w:after="80" w:before="40"/>
        <w:ind w:left="720" w:hanging="360"/>
        <w:jc w:val="both"/>
      </w:pPr>
      <w:r>
        <w:rPr>
          <w:rFonts w:ascii="Times New Roman" w:cs="Times New Roman" w:eastAsia="Times New Roman" w:hAnsi="Times New Roman"/>
          <w:b/>
          <w:bCs/>
          <w:sz w:val="240"/>
          <w:szCs w:val="240"/>
        </w:rPr>
        <w:t xml:space="preserve">3.2</w:t>
      </w:r>
      <w:r>
        <w:rPr>
          <w:rFonts w:ascii="Times New Roman" w:cs="Times New Roman" w:eastAsia="Times New Roman" w:hAnsi="Times New Roman"/>
          <w:sz w:val="240"/>
          <w:szCs w:val="240"/>
        </w:rPr>
        <w:t xml:space="preserve">	This pattern is relevant to the Court's assessment of the intolerability of the employment relationship for purposes of section 186(1)(e) of the LRA, and to the Applicant's claim for automatically unfair dismissal under section 187(1)(h) of the LRA.</w:t>
      </w:r>
    </w:p>
    <w:p>
      <w:pPr>
        <w:spacing w:after="80" w:before="180"/>
      </w:pPr>
      <w:r>
        <w:rPr>
          <w:rFonts w:ascii="Times New Roman" w:cs="Times New Roman" w:eastAsia="Times New Roman" w:hAnsi="Times New Roman"/>
          <w:b/>
          <w:bCs/>
          <w:sz w:val="240"/>
          <w:szCs w:val="240"/>
          <w:u w:val="single"/>
        </w:rPr>
        <w:t xml:space="preserve">4. Reservation of Rights to Pursue Separate Proceedings</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Applicant expressly reserves his rights to institute separate proceedings against the Respondents for:</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Copyright infringement under section 23 of the Copyright Act 98 of 1978;</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Infringement of moral rights under section 20 of the Copyright Act 98 of 1978;</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Unjustified enrichment under the common law; and</w:t>
      </w:r>
    </w:p>
    <w:p>
      <w:pPr>
        <w:spacing w:after="80" w:before="40"/>
        <w:ind w:left="1080" w:hanging="360"/>
        <w:jc w:val="both"/>
      </w:pPr>
      <w:r>
        <w:rPr>
          <w:rFonts w:ascii="Times New Roman" w:cs="Times New Roman" w:eastAsia="Times New Roman" w:hAnsi="Times New Roman"/>
          <w:sz w:val="240"/>
          <w:szCs w:val="240"/>
        </w:rPr>
        <w:t xml:space="preserve">•</w:t>
      </w:r>
      <w:r>
        <w:rPr>
          <w:rFonts w:ascii="Times New Roman" w:cs="Times New Roman" w:eastAsia="Times New Roman" w:hAnsi="Times New Roman"/>
          <w:sz w:val="240"/>
          <w:szCs w:val="240"/>
        </w:rPr>
        <w:t xml:space="preserve">	Any other intellectual property or contractual claim arising from the development, submission, rejection, and subsequent unauthorised implementation of the CPD programme.</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I: The Recorded Admission of Retaliatory Intent</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On 31 October 2025, in a meeting that the Applicant lawfully recorded, Jones stated: "You made a case of harassment against me, so I can make a case of harassment against you. You misspelled my name in an email — go look." Jones further warned the Applicant to "think of the ripple effect" of his actions as a person who had made formal complaints and protected disclosures. A transcript of the recording is attached as Annexure "O".</w:t>
      </w:r>
    </w:p>
    <w:p>
      <w:pPr>
        <w:spacing w:after="80" w:before="40"/>
        <w:ind w:left="720" w:hanging="360"/>
        <w:jc w:val="both"/>
      </w:pPr>
      <w:r>
        <w:rPr>
          <w:rFonts w:ascii="Times New Roman" w:cs="Times New Roman" w:eastAsia="Times New Roman" w:hAnsi="Times New Roman"/>
          <w:b/>
          <w:bCs/>
          <w:sz w:val="240"/>
          <w:szCs w:val="240"/>
        </w:rPr>
        <w:t xml:space="preserve">2.</w:t>
      </w:r>
      <w:r>
        <w:rPr>
          <w:rFonts w:ascii="Times New Roman" w:cs="Times New Roman" w:eastAsia="Times New Roman" w:hAnsi="Times New Roman"/>
          <w:sz w:val="240"/>
          <w:szCs w:val="240"/>
        </w:rPr>
        <w:t xml:space="preserve">	This statement constitutes direct contemporaneous evidence of a causal nexus between the Applicant's protected activities (formal discrimination complaint; patient safety disclosure) and Jones's retaliatory intent. It satisfies the causal test for automatically unfair dismissal under section 187(1)(h) of the LRA and for occupational detriment under section 3 of the PDA.</w:t>
      </w:r>
    </w:p>
    <w:p>
      <w:pPr>
        <w:spacing w:after="80" w:before="40"/>
        <w:ind w:left="720" w:hanging="360"/>
        <w:jc w:val="both"/>
      </w:pPr>
      <w:r>
        <w:rPr>
          <w:rFonts w:ascii="Times New Roman" w:cs="Times New Roman" w:eastAsia="Times New Roman" w:hAnsi="Times New Roman"/>
          <w:b/>
          <w:bCs/>
          <w:sz w:val="240"/>
          <w:szCs w:val="240"/>
        </w:rPr>
        <w:t xml:space="preserve">3.</w:t>
      </w:r>
      <w:r>
        <w:rPr>
          <w:rFonts w:ascii="Times New Roman" w:cs="Times New Roman" w:eastAsia="Times New Roman" w:hAnsi="Times New Roman"/>
          <w:sz w:val="240"/>
          <w:szCs w:val="240"/>
        </w:rPr>
        <w:t xml:space="preserve">	Jones's warning about the "ripple effect" of the Applicant's whistleblowing activities constitutes a veiled threat within the meaning of "any act or omission that prejudices the employee" as contemplated in the definition of "occupational detriment" in section 1 of the PDA.</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J: Institutional Silence and Exhaustion of Internal Remedies</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On 2 November 2025, the Applicant filed a formal grievance against Jones, detailing malicious intent, gaslighting, weaponisation of past issues, orchestrated provocation, and a sustained campaign for his removal. He demanded an investigation, removal from Jones's team, and a written guarantee against retaliation (Annexure "P"). The Respondents met this grievance with over 30 consecutive days of institutional silence — no acknowledgment, no investigation, no response.</w:t>
      </w:r>
    </w:p>
    <w:p>
      <w:pPr>
        <w:spacing w:after="80" w:before="40"/>
        <w:ind w:left="720" w:hanging="360"/>
        <w:jc w:val="both"/>
      </w:pPr>
      <w:r>
        <w:rPr>
          <w:rFonts w:ascii="Times New Roman" w:cs="Times New Roman" w:eastAsia="Times New Roman" w:hAnsi="Times New Roman"/>
          <w:b/>
          <w:bCs/>
          <w:sz w:val="240"/>
          <w:szCs w:val="240"/>
        </w:rPr>
        <w:t xml:space="preserve">2.</w:t>
      </w:r>
      <w:r>
        <w:rPr>
          <w:rFonts w:ascii="Times New Roman" w:cs="Times New Roman" w:eastAsia="Times New Roman" w:hAnsi="Times New Roman"/>
          <w:sz w:val="240"/>
          <w:szCs w:val="240"/>
        </w:rPr>
        <w:t xml:space="preserve">	On 4 December 2025, the Applicant escalated the matter to executive leadership including Gerald Van Wyk (CEO, First Respondent) with a 32-page evidence bundle, requesting paid recuperation leave, a financial settlement, and a written guarantee of non-retaliation (Annexure "Q").</w:t>
      </w:r>
    </w:p>
    <w:p>
      <w:pPr>
        <w:spacing w:after="80" w:before="40"/>
        <w:ind w:left="720" w:hanging="360"/>
        <w:jc w:val="both"/>
      </w:pPr>
      <w:r>
        <w:rPr>
          <w:rFonts w:ascii="Times New Roman" w:cs="Times New Roman" w:eastAsia="Times New Roman" w:hAnsi="Times New Roman"/>
          <w:b/>
          <w:bCs/>
          <w:sz w:val="240"/>
          <w:szCs w:val="240"/>
        </w:rPr>
        <w:t xml:space="preserve">3.</w:t>
      </w:r>
      <w:r>
        <w:rPr>
          <w:rFonts w:ascii="Times New Roman" w:cs="Times New Roman" w:eastAsia="Times New Roman" w:hAnsi="Times New Roman"/>
          <w:sz w:val="240"/>
          <w:szCs w:val="240"/>
        </w:rPr>
        <w:t xml:space="preserve">	The Chief Risk Officer (Monwabisi Kula) responded on 9 December 2025, acknowledging receipt but stating that interim feedback would only be provided in January 2026 due to the "festive break". This response, given the humanitarian urgency of the Applicant's situation (two months in rental arrears, facing eviction, without food or medication funds), constituted a deliberate delay tactic rather than a good-faith engagement.</w:t>
      </w:r>
    </w:p>
    <w:p>
      <w:pPr>
        <w:spacing w:after="80" w:before="40"/>
        <w:ind w:left="720" w:hanging="360"/>
        <w:jc w:val="both"/>
      </w:pPr>
      <w:r>
        <w:rPr>
          <w:rFonts w:ascii="Times New Roman" w:cs="Times New Roman" w:eastAsia="Times New Roman" w:hAnsi="Times New Roman"/>
          <w:b/>
          <w:bCs/>
          <w:sz w:val="240"/>
          <w:szCs w:val="240"/>
        </w:rPr>
        <w:t xml:space="preserve">4.</w:t>
      </w:r>
      <w:r>
        <w:rPr>
          <w:rFonts w:ascii="Times New Roman" w:cs="Times New Roman" w:eastAsia="Times New Roman" w:hAnsi="Times New Roman"/>
          <w:sz w:val="240"/>
          <w:szCs w:val="240"/>
        </w:rPr>
        <w:t xml:space="preserve">	On 9 December 2025, the Applicant escalated to the Board of Directors with 38 attachments documenting discrimination, retaliation, King IV governance violations, and the Priority 1 Material Risk Report (Gexus-DMS integration failure).</w:t>
      </w:r>
    </w:p>
    <w:p>
      <w:pPr>
        <w:spacing w:after="80" w:before="40"/>
        <w:ind w:left="720" w:hanging="360"/>
        <w:jc w:val="both"/>
      </w:pPr>
      <w:r>
        <w:rPr>
          <w:rFonts w:ascii="Times New Roman" w:cs="Times New Roman" w:eastAsia="Times New Roman" w:hAnsi="Times New Roman"/>
          <w:b/>
          <w:bCs/>
          <w:sz w:val="240"/>
          <w:szCs w:val="240"/>
        </w:rPr>
        <w:t xml:space="preserve">5.</w:t>
      </w:r>
      <w:r>
        <w:rPr>
          <w:rFonts w:ascii="Times New Roman" w:cs="Times New Roman" w:eastAsia="Times New Roman" w:hAnsi="Times New Roman"/>
          <w:sz w:val="240"/>
          <w:szCs w:val="240"/>
        </w:rPr>
        <w:t xml:space="preserve">	On 17 December 2025, the Chief Risk Officer sent a further communication instructing the Applicant to "stop sending these e-mails to our directors", and characterising continued escalation as indicative of "impatience and unreasonableness". The Applicant declined, asserting his right to escalate material risks to oversight committees. This gatekeeping response constitutes evidence of the Board's deliberate shielding from governance accountability.</w:t>
      </w:r>
    </w:p>
    <w:p>
      <w:pPr>
        <w:spacing w:after="80" w:before="40"/>
        <w:ind w:left="720" w:hanging="360"/>
        <w:jc w:val="both"/>
      </w:pPr>
      <w:r>
        <w:rPr>
          <w:rFonts w:ascii="Times New Roman" w:cs="Times New Roman" w:eastAsia="Times New Roman" w:hAnsi="Times New Roman"/>
          <w:b/>
          <w:bCs/>
          <w:sz w:val="240"/>
          <w:szCs w:val="240"/>
        </w:rPr>
        <w:t xml:space="preserve">6.</w:t>
      </w:r>
      <w:r>
        <w:rPr>
          <w:rFonts w:ascii="Times New Roman" w:cs="Times New Roman" w:eastAsia="Times New Roman" w:hAnsi="Times New Roman"/>
          <w:sz w:val="240"/>
          <w:szCs w:val="240"/>
        </w:rPr>
        <w:t xml:space="preserve">	The Applicant had exhausted all reasonable internal remedies prior to his resignation. The 30+ days of institutional silence following the November 2025 formal grievance, the "festive break" delay, and the Chief Risk Officer's gatekeeping communications collectively demonstrate the futility of further internal engagement — a relevant consideration under section 186(1)(e) of the LRA for purposes of establishing constructive dismissal.</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K: The Employer's Bad-Faith Opposing Affidavit</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On 10 December 2025, the Respondents, through their legal representative Xolile Vincent Manyathi, filed an opposing affidavit in the CCMA (Case WECT23564-25) (Annexure "R"). The affidavit contained the following material misrepresentations and personal attacks made under oath:</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The deponent claimed personal knowledge of the Applicant, notwithstanding that the Applicant confirms he has never met, engaged with, or been observed by this individual — a false oath administered before a Commissioner of Oaths;</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The Applicant's diagnosed depression and PTSD were dismissed as a "cynical excuse" and an "afterthought";</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The Applicant was labelled as having an "untruthful character"; and</w:t>
      </w:r>
    </w:p>
    <w:p>
      <w:pPr>
        <w:spacing w:after="80" w:before="40"/>
        <w:ind w:left="1080" w:hanging="360"/>
        <w:jc w:val="both"/>
      </w:pPr>
      <w:r>
        <w:rPr>
          <w:rFonts w:ascii="Times New Roman" w:cs="Times New Roman" w:eastAsia="Times New Roman" w:hAnsi="Times New Roman"/>
          <w:sz w:val="240"/>
          <w:szCs w:val="240"/>
        </w:rPr>
        <w:t xml:space="preserve">(d)</w:t>
      </w:r>
      <w:r>
        <w:rPr>
          <w:rFonts w:ascii="Times New Roman" w:cs="Times New Roman" w:eastAsia="Times New Roman" w:hAnsi="Times New Roman"/>
          <w:sz w:val="240"/>
          <w:szCs w:val="240"/>
        </w:rPr>
        <w:t xml:space="preserve">	His clinical and professional conduct was described as "sloppiness" and a "fishing expedition", with a demand that his application be dismissed "with cost".</w:t>
      </w:r>
    </w:p>
    <w:p>
      <w:pPr>
        <w:spacing w:after="80" w:before="40"/>
        <w:ind w:left="720" w:hanging="360"/>
        <w:jc w:val="both"/>
      </w:pPr>
      <w:r>
        <w:rPr>
          <w:rFonts w:ascii="Times New Roman" w:cs="Times New Roman" w:eastAsia="Times New Roman" w:hAnsi="Times New Roman"/>
          <w:b/>
          <w:bCs/>
          <w:sz w:val="240"/>
          <w:szCs w:val="240"/>
        </w:rPr>
        <w:t xml:space="preserve">2.</w:t>
      </w:r>
      <w:r>
        <w:rPr>
          <w:rFonts w:ascii="Times New Roman" w:cs="Times New Roman" w:eastAsia="Times New Roman" w:hAnsi="Times New Roman"/>
          <w:sz w:val="240"/>
          <w:szCs w:val="240"/>
        </w:rPr>
        <w:t xml:space="preserve">	This affidavit was filed the day after the Applicant's board-level escalation. The characterisation of a SANC-registered NQF Level 8 nurse's documented psychiatric condition as a "cynical excuse" in a sworn document constitutes:</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discrimination on the ground of disability under section 6(1) of the EEA;</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a violation of the right to dignity under section 10 of the Constitution of the Republic of South Africa, 1996; and</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evidence of the bad faith that pervaded the entire employment relationship and that renders the employer's conduct unlawful for purposes of the costs prayer.</w:t>
      </w:r>
    </w:p>
    <w:p>
      <w:pPr>
        <w:spacing w:after="80" w:before="40"/>
        <w:ind w:left="720" w:hanging="360"/>
        <w:jc w:val="both"/>
      </w:pPr>
      <w:r>
        <w:rPr>
          <w:rFonts w:ascii="Times New Roman" w:cs="Times New Roman" w:eastAsia="Times New Roman" w:hAnsi="Times New Roman"/>
          <w:b/>
          <w:bCs/>
          <w:sz w:val="240"/>
          <w:szCs w:val="240"/>
        </w:rPr>
        <w:t xml:space="preserve">3.</w:t>
      </w:r>
      <w:r>
        <w:rPr>
          <w:rFonts w:ascii="Times New Roman" w:cs="Times New Roman" w:eastAsia="Times New Roman" w:hAnsi="Times New Roman"/>
          <w:sz w:val="240"/>
          <w:szCs w:val="240"/>
        </w:rPr>
        <w:t xml:space="preserve">	The filing of this affidavit, combined with the cumulative conduct described above, eliminated any objective possibility of restoring the employment relationship and constituted the final act rendering continued employment intolerable within the meaning of section 186(1)(e) of the LRA.</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L: Resignation — Automatically Unfair Constructive Dismissal</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On 11 December 2025, the Applicant gave formal notice of resignation, effective 12 December 2025, citing the employer's sworn affidavit as the final intolerable act. The resignation letter is attached as Annexure "S".</w:t>
      </w:r>
    </w:p>
    <w:p>
      <w:pPr>
        <w:spacing w:after="80" w:before="40"/>
        <w:ind w:left="720" w:hanging="360"/>
        <w:jc w:val="both"/>
      </w:pPr>
      <w:r>
        <w:rPr>
          <w:rFonts w:ascii="Times New Roman" w:cs="Times New Roman" w:eastAsia="Times New Roman" w:hAnsi="Times New Roman"/>
          <w:b/>
          <w:bCs/>
          <w:sz w:val="240"/>
          <w:szCs w:val="240"/>
        </w:rPr>
        <w:t xml:space="preserve">2.</w:t>
      </w:r>
      <w:r>
        <w:rPr>
          <w:rFonts w:ascii="Times New Roman" w:cs="Times New Roman" w:eastAsia="Times New Roman" w:hAnsi="Times New Roman"/>
          <w:sz w:val="240"/>
          <w:szCs w:val="240"/>
        </w:rPr>
        <w:t xml:space="preserve">	The employment situation had become objectively intolerable for the purposes of section 186(1)(e) of the LRA due to the cumulative effect of the following:</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The unlawful salary deduction of 40.47%, made without consultation and in breach of the statutory cap, while the employer was in possession of the Applicant's psychiatric assessment confirming medical vulnerability;</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Discrimination and harassment on the grounds of gender identity and sexual orientation (the "Wilma" incident), followed by a whitewash investigation;</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Retaliation and insubordination labelling following a bona fide protected disclosure of a patient safety risk;</w:t>
      </w:r>
    </w:p>
    <w:p>
      <w:pPr>
        <w:spacing w:after="80" w:before="40"/>
        <w:ind w:left="1080" w:hanging="360"/>
        <w:jc w:val="both"/>
      </w:pPr>
      <w:r>
        <w:rPr>
          <w:rFonts w:ascii="Times New Roman" w:cs="Times New Roman" w:eastAsia="Times New Roman" w:hAnsi="Times New Roman"/>
          <w:sz w:val="240"/>
          <w:szCs w:val="240"/>
        </w:rPr>
        <w:t xml:space="preserve">(d)</w:t>
      </w:r>
      <w:r>
        <w:rPr>
          <w:rFonts w:ascii="Times New Roman" w:cs="Times New Roman" w:eastAsia="Times New Roman" w:hAnsi="Times New Roman"/>
          <w:sz w:val="240"/>
          <w:szCs w:val="240"/>
        </w:rPr>
        <w:t xml:space="preserve">	The recorded admission of retaliatory intent by Jones on 31 October 2025;</w:t>
      </w:r>
    </w:p>
    <w:p>
      <w:pPr>
        <w:spacing w:after="80" w:before="40"/>
        <w:ind w:left="1080" w:hanging="360"/>
        <w:jc w:val="both"/>
      </w:pPr>
      <w:r>
        <w:rPr>
          <w:rFonts w:ascii="Times New Roman" w:cs="Times New Roman" w:eastAsia="Times New Roman" w:hAnsi="Times New Roman"/>
          <w:sz w:val="240"/>
          <w:szCs w:val="240"/>
        </w:rPr>
        <w:t xml:space="preserve">(e)</w:t>
      </w:r>
      <w:r>
        <w:rPr>
          <w:rFonts w:ascii="Times New Roman" w:cs="Times New Roman" w:eastAsia="Times New Roman" w:hAnsi="Times New Roman"/>
          <w:sz w:val="240"/>
          <w:szCs w:val="240"/>
        </w:rPr>
        <w:t xml:space="preserve">	Over 30 days of institutional silence on formal grievances, demonstrating the futility of internal remedies;</w:t>
      </w:r>
    </w:p>
    <w:p>
      <w:pPr>
        <w:spacing w:after="80" w:before="40"/>
        <w:ind w:left="1080" w:hanging="360"/>
        <w:jc w:val="both"/>
      </w:pPr>
      <w:r>
        <w:rPr>
          <w:rFonts w:ascii="Times New Roman" w:cs="Times New Roman" w:eastAsia="Times New Roman" w:hAnsi="Times New Roman"/>
          <w:sz w:val="240"/>
          <w:szCs w:val="240"/>
        </w:rPr>
        <w:t xml:space="preserve">(f)</w:t>
      </w:r>
      <w:r>
        <w:rPr>
          <w:rFonts w:ascii="Times New Roman" w:cs="Times New Roman" w:eastAsia="Times New Roman" w:hAnsi="Times New Roman"/>
          <w:sz w:val="240"/>
          <w:szCs w:val="240"/>
        </w:rPr>
        <w:t xml:space="preserve">	The executive "festive break" delay and the Chief Risk Officer's gatekeeping of Board-level escalation;</w:t>
      </w:r>
    </w:p>
    <w:p>
      <w:pPr>
        <w:spacing w:after="80" w:before="40"/>
        <w:ind w:left="1080" w:hanging="360"/>
        <w:jc w:val="both"/>
      </w:pPr>
      <w:r>
        <w:rPr>
          <w:rFonts w:ascii="Times New Roman" w:cs="Times New Roman" w:eastAsia="Times New Roman" w:hAnsi="Times New Roman"/>
          <w:sz w:val="240"/>
          <w:szCs w:val="240"/>
        </w:rPr>
        <w:t xml:space="preserve">(g)</w:t>
      </w:r>
      <w:r>
        <w:rPr>
          <w:rFonts w:ascii="Times New Roman" w:cs="Times New Roman" w:eastAsia="Times New Roman" w:hAnsi="Times New Roman"/>
          <w:sz w:val="240"/>
          <w:szCs w:val="240"/>
        </w:rPr>
        <w:t xml:space="preserve">	The sworn, defamatory affidavit attacking the Applicant's documented psychiatric condition and professional character; and</w:t>
      </w:r>
    </w:p>
    <w:p>
      <w:pPr>
        <w:spacing w:after="80" w:before="40"/>
        <w:ind w:left="1080" w:hanging="360"/>
        <w:jc w:val="both"/>
      </w:pPr>
      <w:r>
        <w:rPr>
          <w:rFonts w:ascii="Times New Roman" w:cs="Times New Roman" w:eastAsia="Times New Roman" w:hAnsi="Times New Roman"/>
          <w:sz w:val="240"/>
          <w:szCs w:val="240"/>
        </w:rPr>
        <w:t xml:space="preserve">(h)</w:t>
      </w:r>
      <w:r>
        <w:rPr>
          <w:rFonts w:ascii="Times New Roman" w:cs="Times New Roman" w:eastAsia="Times New Roman" w:hAnsi="Times New Roman"/>
          <w:sz w:val="240"/>
          <w:szCs w:val="240"/>
        </w:rPr>
        <w:t xml:space="preserve">	The Board's failure to respond substantively to the Priority 1 Material Risk Report.</w:t>
      </w:r>
    </w:p>
    <w:p>
      <w:pPr>
        <w:spacing w:after="80" w:before="40"/>
        <w:ind w:left="720" w:hanging="360"/>
        <w:jc w:val="both"/>
      </w:pPr>
      <w:r>
        <w:rPr>
          <w:rFonts w:ascii="Times New Roman" w:cs="Times New Roman" w:eastAsia="Times New Roman" w:hAnsi="Times New Roman"/>
          <w:b/>
          <w:bCs/>
          <w:sz w:val="240"/>
          <w:szCs w:val="240"/>
        </w:rPr>
        <w:t xml:space="preserve">3.</w:t>
      </w:r>
      <w:r>
        <w:rPr>
          <w:rFonts w:ascii="Times New Roman" w:cs="Times New Roman" w:eastAsia="Times New Roman" w:hAnsi="Times New Roman"/>
          <w:sz w:val="240"/>
          <w:szCs w:val="240"/>
        </w:rPr>
        <w:t xml:space="preserve">	The Applicant's resignation constitutes a constructive dismissal within the meaning of section 186(1)(e) of the LRA. The dominant reason for the dismissal — pervading all of the conduct described above — is the Respondents' retaliation against the Applicant for making protected disclosures as defined in the PDA. The dismissal is accordingly automatically unfair in terms of section 187(1)(h) of the LRA.</w:t>
      </w:r>
    </w:p>
    <w:p>
      <w:pPr>
        <w:spacing w:after="80" w:before="40"/>
        <w:ind w:left="720" w:hanging="360"/>
        <w:jc w:val="both"/>
      </w:pPr>
      <w:r>
        <w:rPr>
          <w:rFonts w:ascii="Times New Roman" w:cs="Times New Roman" w:eastAsia="Times New Roman" w:hAnsi="Times New Roman"/>
          <w:b/>
          <w:bCs/>
          <w:sz w:val="240"/>
          <w:szCs w:val="240"/>
        </w:rPr>
        <w:t xml:space="preserve">4.</w:t>
      </w:r>
      <w:r>
        <w:rPr>
          <w:rFonts w:ascii="Times New Roman" w:cs="Times New Roman" w:eastAsia="Times New Roman" w:hAnsi="Times New Roman"/>
          <w:sz w:val="240"/>
          <w:szCs w:val="240"/>
        </w:rPr>
        <w:t xml:space="preserve">	Alternatively, if the Court finds that the dismissal does not fall within section 187(1)(h), the Applicant contends that the dismissal was automatically unfair under section 187(1)(f) of the LRA in that the reason for the dismissal relates to the Applicant's disability (diagnosed psychiatric condition) — an enumerated ground under section 6 of the EEA.</w:t>
      </w:r>
    </w:p>
    <w:p>
      <w:pPr>
        <w:spacing w:after="80" w:before="40"/>
        <w:ind w:left="720" w:hanging="360"/>
        <w:jc w:val="both"/>
      </w:pPr>
      <w:r>
        <w:rPr>
          <w:rFonts w:ascii="Times New Roman" w:cs="Times New Roman" w:eastAsia="Times New Roman" w:hAnsi="Times New Roman"/>
          <w:b/>
          <w:bCs/>
          <w:sz w:val="240"/>
          <w:szCs w:val="240"/>
        </w:rPr>
        <w:t xml:space="preserve">5.</w:t>
      </w:r>
      <w:r>
        <w:rPr>
          <w:rFonts w:ascii="Times New Roman" w:cs="Times New Roman" w:eastAsia="Times New Roman" w:hAnsi="Times New Roman"/>
          <w:sz w:val="240"/>
          <w:szCs w:val="240"/>
        </w:rPr>
        <w:t xml:space="preserve">	Further alternatively, if the Court finds that the dismissal is not automatically unfair, the Applicant submits that it was substantively and procedurally unfair within the meaning of section 185 of the LRA, for all the reasons set out above.</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M: Career Destruction — Inability to Practise Nursing</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As a direct and proximate result of the unlawful 40.47% salary deduction in July 2025, the Applicant was rendered financially destitute. He could not afford to pay his annual registration fee to the South African Nursing Council ("SANC") and consequently his nursing registration was not renewed.</w:t>
      </w:r>
    </w:p>
    <w:p>
      <w:pPr>
        <w:spacing w:after="80" w:before="40"/>
        <w:ind w:left="720" w:hanging="360"/>
        <w:jc w:val="both"/>
      </w:pPr>
      <w:r>
        <w:rPr>
          <w:rFonts w:ascii="Times New Roman" w:cs="Times New Roman" w:eastAsia="Times New Roman" w:hAnsi="Times New Roman"/>
          <w:b/>
          <w:bCs/>
          <w:sz w:val="240"/>
          <w:szCs w:val="240"/>
        </w:rPr>
        <w:t xml:space="preserve">2.</w:t>
      </w:r>
      <w:r>
        <w:rPr>
          <w:rFonts w:ascii="Times New Roman" w:cs="Times New Roman" w:eastAsia="Times New Roman" w:hAnsi="Times New Roman"/>
          <w:sz w:val="240"/>
          <w:szCs w:val="240"/>
        </w:rPr>
        <w:t xml:space="preserve">	As a result, the Applicant is currently barred from practising as a registered nurse — a deprivation of his professional livelihood constituting career destruction.</w:t>
      </w:r>
    </w:p>
    <w:p>
      <w:pPr>
        <w:spacing w:after="80" w:before="40"/>
        <w:ind w:left="720" w:hanging="360"/>
        <w:jc w:val="both"/>
      </w:pPr>
      <w:r>
        <w:rPr>
          <w:rFonts w:ascii="Times New Roman" w:cs="Times New Roman" w:eastAsia="Times New Roman" w:hAnsi="Times New Roman"/>
          <w:b/>
          <w:bCs/>
          <w:sz w:val="240"/>
          <w:szCs w:val="240"/>
        </w:rPr>
        <w:t xml:space="preserve">3.</w:t>
      </w:r>
      <w:r>
        <w:rPr>
          <w:rFonts w:ascii="Times New Roman" w:cs="Times New Roman" w:eastAsia="Times New Roman" w:hAnsi="Times New Roman"/>
          <w:sz w:val="240"/>
          <w:szCs w:val="240"/>
        </w:rPr>
        <w:t xml:space="preserve">	The Applicant had been accepted into the Postgraduate Diploma in Occupational Health Nursing at the Cape Peninsula University of Technology ("CPUT") for the 2026 academic year. Due to the Respondents' financial sabotage, he could not pay the registration fee and lost that professional development opportunity. The acceptance letter is attached as Annexure "T".</w:t>
      </w:r>
    </w:p>
    <w:p>
      <w:pPr>
        <w:spacing w:after="80" w:before="40"/>
        <w:ind w:left="720" w:hanging="360"/>
        <w:jc w:val="both"/>
      </w:pPr>
      <w:r>
        <w:rPr>
          <w:rFonts w:ascii="Times New Roman" w:cs="Times New Roman" w:eastAsia="Times New Roman" w:hAnsi="Times New Roman"/>
          <w:b/>
          <w:bCs/>
          <w:sz w:val="240"/>
          <w:szCs w:val="240"/>
        </w:rPr>
        <w:t xml:space="preserve">4.</w:t>
      </w:r>
      <w:r>
        <w:rPr>
          <w:rFonts w:ascii="Times New Roman" w:cs="Times New Roman" w:eastAsia="Times New Roman" w:hAnsi="Times New Roman"/>
          <w:sz w:val="240"/>
          <w:szCs w:val="240"/>
        </w:rPr>
        <w:t xml:space="preserve">	The loss of nursing registration and the lost CPUT opportunity constitute recoverable consequential damages caused by the unlawful deduction and retaliatory conduct. They are pleaded as damages under section 4 of the PDA (occupational detriment) and under the general damages jurisdiction of this Court.</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N: Post-Resignation Victimisation</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After the Applicant's resignation, the Respondents continued to cause him harm through the following acts of post-resignation victimisation:</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UIF Non-Declaration: UIF contributions were deducted from the Applicant's June 2025 salary but the Respondents failed to declare his employment for that month. The uFiling portal continues to reflect "No Information" for June 2025 (Annexure "U"). This constitutes a contravention of section 5 of the Unemployment Insurance Contributions Act 4 of 2002, as well as potential fraud under section 68 of the Unemployment Insurance Act 63 of 2001;</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Misrepresentation of Certificate of Service: The Certificate of Service issued to the Applicant designates him as "Care Coordinator" rather than "Care Manager" or "Health Services Management Nurse Specialist". The Respondents have refused to correct this despite the Applicant's formal demand and have withheld the recording of the internal "Naming Convention" meeting that would confirm his true title (Annexure "V"). This constitutes a contravention of section 42 of the BCEA; and</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Withholding of Exit Documents: The Respondents delayed providing the UI-19 form and retirement fund claim forms, causing additional financial prejudice to an already destitute Applicant.</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O: Regulatory and Third-Party Confirmation of Material Facts</w:t>
      </w:r>
    </w:p>
    <w:p>
      <w:pPr>
        <w:spacing w:after="80" w:before="40"/>
        <w:ind w:left="720" w:hanging="360"/>
        <w:jc w:val="both"/>
      </w:pPr>
      <w:r>
        <w:rPr>
          <w:rFonts w:ascii="Times New Roman" w:cs="Times New Roman" w:eastAsia="Times New Roman" w:hAnsi="Times New Roman"/>
          <w:b/>
          <w:bCs/>
          <w:sz w:val="240"/>
          <w:szCs w:val="240"/>
        </w:rPr>
        <w:t xml:space="preserve">1.</w:t>
      </w:r>
      <w:r>
        <w:rPr>
          <w:rFonts w:ascii="Times New Roman" w:cs="Times New Roman" w:eastAsia="Times New Roman" w:hAnsi="Times New Roman"/>
          <w:sz w:val="240"/>
          <w:szCs w:val="240"/>
        </w:rPr>
        <w:t xml:space="preserve">	The following regulatory and institutional acknowledgments independently corroborate the material facts set out in this Statement of Claim:</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Council for Medical Schemes (CMS): Formally identified "Administrative Misconduct and Ethical Failure" in relation to the Gexus/DMS integration gap and referred the matter to HPCSA and SANC (Annexure "W");</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South African Human Rights Commission (SAHRC): Acknowledged the "seriousness of the allegations" regarding victimisation and financial prejudice, and made referrals to the CCMA, Labour Court, and Department of Employment and Labour (Annexure "X");</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JSE Issuer Regulation Division: Acknowledged receipt of the Applicant's 325-page evidentiary bundle and has engaged the First Respondent for a response regarding potential SENS disclosure failures;</w:t>
      </w:r>
    </w:p>
    <w:p>
      <w:pPr>
        <w:spacing w:after="80" w:before="40"/>
        <w:ind w:left="1080" w:hanging="360"/>
        <w:jc w:val="both"/>
      </w:pPr>
      <w:r>
        <w:rPr>
          <w:rFonts w:ascii="Times New Roman" w:cs="Times New Roman" w:eastAsia="Times New Roman" w:hAnsi="Times New Roman"/>
          <w:sz w:val="240"/>
          <w:szCs w:val="240"/>
        </w:rPr>
        <w:t xml:space="preserve">(d)</w:t>
      </w:r>
      <w:r>
        <w:rPr>
          <w:rFonts w:ascii="Times New Roman" w:cs="Times New Roman" w:eastAsia="Times New Roman" w:hAnsi="Times New Roman"/>
          <w:sz w:val="240"/>
          <w:szCs w:val="240"/>
        </w:rPr>
        <w:t xml:space="preserve">	B-BBEE Commission: Allocated Case No. 5/02/2026 for investigation of the B-BBEE fronting allegation;</w:t>
      </w:r>
    </w:p>
    <w:p>
      <w:pPr>
        <w:spacing w:after="80" w:before="40"/>
        <w:ind w:left="1080" w:hanging="360"/>
        <w:jc w:val="both"/>
      </w:pPr>
      <w:r>
        <w:rPr>
          <w:rFonts w:ascii="Times New Roman" w:cs="Times New Roman" w:eastAsia="Times New Roman" w:hAnsi="Times New Roman"/>
          <w:sz w:val="240"/>
          <w:szCs w:val="240"/>
        </w:rPr>
        <w:t xml:space="preserve">(e)</w:t>
      </w:r>
      <w:r>
        <w:rPr>
          <w:rFonts w:ascii="Times New Roman" w:cs="Times New Roman" w:eastAsia="Times New Roman" w:hAnsi="Times New Roman"/>
          <w:sz w:val="240"/>
          <w:szCs w:val="240"/>
        </w:rPr>
        <w:t xml:space="preserve">	Department of Employment and Labour: Allocated an integrated inspection for UIF non-compliance (DEL IES Ref, 16 February 2026); and</w:t>
      </w:r>
    </w:p>
    <w:p>
      <w:pPr>
        <w:spacing w:after="80" w:before="40"/>
        <w:ind w:left="1080" w:hanging="360"/>
        <w:jc w:val="both"/>
      </w:pPr>
      <w:r>
        <w:rPr>
          <w:rFonts w:ascii="Times New Roman" w:cs="Times New Roman" w:eastAsia="Times New Roman" w:hAnsi="Times New Roman"/>
          <w:sz w:val="240"/>
          <w:szCs w:val="240"/>
        </w:rPr>
        <w:t xml:space="preserve">(f)</w:t>
      </w:r>
      <w:r>
        <w:rPr>
          <w:rFonts w:ascii="Times New Roman" w:cs="Times New Roman" w:eastAsia="Times New Roman" w:hAnsi="Times New Roman"/>
          <w:sz w:val="240"/>
          <w:szCs w:val="240"/>
        </w:rPr>
        <w:t xml:space="preserve">	SAPS: Criminal case CAS 705/3/2026 registered at SAPS Delft on 19 March 2026 and transferred to SAPS Woodstock on 25 March 2026 for investigation of statutory fraud under the Unemployment Insurance Contributions Act and the BCEA.</w:t>
      </w:r>
    </w:p>
    <w:p>
      <w:pPr>
        <w:spacing w:after="80" w:before="40"/>
        <w:ind w:left="720" w:hanging="360"/>
        <w:jc w:val="both"/>
      </w:pPr>
      <w:r>
        <w:rPr>
          <w:rFonts w:ascii="Times New Roman" w:cs="Times New Roman" w:eastAsia="Times New Roman" w:hAnsi="Times New Roman"/>
          <w:b/>
          <w:bCs/>
          <w:sz w:val="240"/>
          <w:szCs w:val="240"/>
        </w:rPr>
        <w:t xml:space="preserve">2.</w:t>
      </w:r>
      <w:r>
        <w:rPr>
          <w:rFonts w:ascii="Times New Roman" w:cs="Times New Roman" w:eastAsia="Times New Roman" w:hAnsi="Times New Roman"/>
          <w:sz w:val="240"/>
          <w:szCs w:val="240"/>
        </w:rPr>
        <w:t xml:space="preserve">	A full Master Chronological Register containing 148 entries from 11 January 2024 to 2 April 2026, summarising all material events, institutional responses, and patterns of deflection, is attached as Annexure "Z".</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P: Summary of Causes of Action</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Applicant's causes of action are as follows:</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Primary claim: Automatically unfair constructive dismissal under sections 186(1)(e) and 187(1)(h) of the LRA — the dominant reason for the dismissal was retaliation for protected disclosures as defined in the PDA;</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Alternative claim A: Automatically unfair dismissal under sections 186(1)(e) and 187(1)(f) of the LRA — the dominant reason relates to the Applicant's disability;</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Alternative claim B: Constructive and substantively/procedurally unfair dismissal under sections 185 and 186(1)(e) of the LRA;</w:t>
      </w:r>
    </w:p>
    <w:p>
      <w:pPr>
        <w:spacing w:after="80" w:before="40"/>
        <w:ind w:left="1080" w:hanging="360"/>
        <w:jc w:val="both"/>
      </w:pPr>
      <w:r>
        <w:rPr>
          <w:rFonts w:ascii="Times New Roman" w:cs="Times New Roman" w:eastAsia="Times New Roman" w:hAnsi="Times New Roman"/>
          <w:sz w:val="240"/>
          <w:szCs w:val="240"/>
        </w:rPr>
        <w:t xml:space="preserve">(d)</w:t>
      </w:r>
      <w:r>
        <w:rPr>
          <w:rFonts w:ascii="Times New Roman" w:cs="Times New Roman" w:eastAsia="Times New Roman" w:hAnsi="Times New Roman"/>
          <w:sz w:val="240"/>
          <w:szCs w:val="240"/>
        </w:rPr>
        <w:t xml:space="preserve">	Unfair discrimination and harassment under sections 6(1), 6(3) and 60 of the EEA — on the grounds of sexual orientation, gender identity and disability;</w:t>
      </w:r>
    </w:p>
    <w:p>
      <w:pPr>
        <w:spacing w:after="80" w:before="40"/>
        <w:ind w:left="1080" w:hanging="360"/>
        <w:jc w:val="both"/>
      </w:pPr>
      <w:r>
        <w:rPr>
          <w:rFonts w:ascii="Times New Roman" w:cs="Times New Roman" w:eastAsia="Times New Roman" w:hAnsi="Times New Roman"/>
          <w:sz w:val="240"/>
          <w:szCs w:val="240"/>
        </w:rPr>
        <w:t xml:space="preserve">(e)</w:t>
      </w:r>
      <w:r>
        <w:rPr>
          <w:rFonts w:ascii="Times New Roman" w:cs="Times New Roman" w:eastAsia="Times New Roman" w:hAnsi="Times New Roman"/>
          <w:sz w:val="240"/>
          <w:szCs w:val="240"/>
        </w:rPr>
        <w:t xml:space="preserve">	Occupational detriment for making protected disclosures under sections 3 and 4 of the PDA;</w:t>
      </w:r>
    </w:p>
    <w:p>
      <w:pPr>
        <w:spacing w:after="80" w:before="40"/>
        <w:ind w:left="1080" w:hanging="360"/>
        <w:jc w:val="both"/>
      </w:pPr>
      <w:r>
        <w:rPr>
          <w:rFonts w:ascii="Times New Roman" w:cs="Times New Roman" w:eastAsia="Times New Roman" w:hAnsi="Times New Roman"/>
          <w:sz w:val="240"/>
          <w:szCs w:val="240"/>
        </w:rPr>
        <w:t xml:space="preserve">(f)</w:t>
      </w:r>
      <w:r>
        <w:rPr>
          <w:rFonts w:ascii="Times New Roman" w:cs="Times New Roman" w:eastAsia="Times New Roman" w:hAnsi="Times New Roman"/>
          <w:sz w:val="240"/>
          <w:szCs w:val="240"/>
        </w:rPr>
        <w:t xml:space="preserve">	Contravention of section 34(2) of the BCEA — unlawful salary deduction (also pleaded in Case No. 2026-077546);</w:t>
      </w:r>
    </w:p>
    <w:p>
      <w:pPr>
        <w:spacing w:after="80" w:before="40"/>
        <w:ind w:left="1080" w:hanging="360"/>
        <w:jc w:val="both"/>
      </w:pPr>
      <w:r>
        <w:rPr>
          <w:rFonts w:ascii="Times New Roman" w:cs="Times New Roman" w:eastAsia="Times New Roman" w:hAnsi="Times New Roman"/>
          <w:sz w:val="240"/>
          <w:szCs w:val="240"/>
        </w:rPr>
        <w:t xml:space="preserve">(g)</w:t>
      </w:r>
      <w:r>
        <w:rPr>
          <w:rFonts w:ascii="Times New Roman" w:cs="Times New Roman" w:eastAsia="Times New Roman" w:hAnsi="Times New Roman"/>
          <w:sz w:val="240"/>
          <w:szCs w:val="240"/>
        </w:rPr>
        <w:t xml:space="preserve">	Contravention of section 42 of the BCEA — failure to provide a true and accurate Certificate of Service; and</w:t>
      </w:r>
    </w:p>
    <w:p>
      <w:pPr>
        <w:spacing w:after="80" w:before="40"/>
        <w:ind w:left="1080" w:hanging="360"/>
        <w:jc w:val="both"/>
      </w:pPr>
      <w:r>
        <w:rPr>
          <w:rFonts w:ascii="Times New Roman" w:cs="Times New Roman" w:eastAsia="Times New Roman" w:hAnsi="Times New Roman"/>
          <w:sz w:val="240"/>
          <w:szCs w:val="240"/>
        </w:rPr>
        <w:t xml:space="preserve">(h)</w:t>
      </w:r>
      <w:r>
        <w:rPr>
          <w:rFonts w:ascii="Times New Roman" w:cs="Times New Roman" w:eastAsia="Times New Roman" w:hAnsi="Times New Roman"/>
          <w:sz w:val="240"/>
          <w:szCs w:val="240"/>
        </w:rPr>
        <w:t xml:space="preserve">	Contravention of section 5(1) of the Unemployment Insurance Contributions Act 4 of 2002 — failure to declare contributions for June 2025.</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Q: Quantification of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26"/>
      </w:tblGrid>
      <w:tr>
        <w:tc>
          <w:tcPr>
            <w:tcW w:type="dxa" w:w="4200"/>
            <w:shd w:fill="1A3557" w:val="clear"/>
            <w:tcMar>
              <w:top w:type="dxa" w:w="80"/>
              <w:left w:type="dxa" w:w="120"/>
              <w:bottom w:type="dxa" w:w="80"/>
              <w:right w:type="dxa" w:w="120"/>
            </w:tcMar>
          </w:tcPr>
          <w:p>
            <w:r>
              <w:rPr>
                <w:rFonts w:ascii="Times New Roman" w:cs="Times New Roman" w:eastAsia="Times New Roman" w:hAnsi="Times New Roman"/>
                <w:b/>
                <w:bCs/>
                <w:color w:val="FFFFFF"/>
                <w:sz w:val="200"/>
                <w:szCs w:val="200"/>
              </w:rPr>
              <w:t xml:space="preserve">Head of Damage / Claim</w:t>
            </w:r>
          </w:p>
        </w:tc>
        <w:tc>
          <w:tcPr>
            <w:tcW w:type="dxa" w:w="2600"/>
            <w:shd w:fill="1A3557" w:val="clear"/>
            <w:tcMar>
              <w:top w:type="dxa" w:w="80"/>
              <w:left w:type="dxa" w:w="120"/>
              <w:bottom w:type="dxa" w:w="80"/>
              <w:right w:type="dxa" w:w="120"/>
            </w:tcMar>
          </w:tcPr>
          <w:p>
            <w:r>
              <w:rPr>
                <w:rFonts w:ascii="Times New Roman" w:cs="Times New Roman" w:eastAsia="Times New Roman" w:hAnsi="Times New Roman"/>
                <w:b/>
                <w:bCs/>
                <w:color w:val="FFFFFF"/>
                <w:sz w:val="200"/>
                <w:szCs w:val="200"/>
              </w:rPr>
              <w:t xml:space="preserve">Statutory Basis</w:t>
            </w:r>
          </w:p>
        </w:tc>
        <w:tc>
          <w:tcPr>
            <w:tcW w:type="dxa" w:w="2226"/>
            <w:shd w:fill="1A3557" w:val="clear"/>
            <w:tcMar>
              <w:top w:type="dxa" w:w="80"/>
              <w:left w:type="dxa" w:w="120"/>
              <w:bottom w:type="dxa" w:w="80"/>
              <w:right w:type="dxa" w:w="120"/>
            </w:tcMar>
          </w:tcPr>
          <w:p>
            <w:r>
              <w:rPr>
                <w:rFonts w:ascii="Times New Roman" w:cs="Times New Roman" w:eastAsia="Times New Roman" w:hAnsi="Times New Roman"/>
                <w:b/>
                <w:bCs/>
                <w:color w:val="FFFFFF"/>
                <w:sz w:val="200"/>
                <w:szCs w:val="200"/>
              </w:rPr>
              <w:t xml:space="preserve">Amount (ZAR)</w:t>
            </w:r>
          </w:p>
        </w:tc>
      </w:tr>
      <w:tr>
        <w:tc>
          <w:tcPr>
            <w:tcW w:type="dxa" w:w="4200"/>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Automatically unfair dismissal compensation
(24 months × R42,796.13)</w:t>
            </w:r>
          </w:p>
        </w:tc>
        <w:tc>
          <w:tcPr>
            <w:tcW w:type="dxa" w:w="2600"/>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LRA s194(3)</w:t>
            </w:r>
          </w:p>
        </w:tc>
        <w:tc>
          <w:tcPr>
            <w:tcW w:type="dxa" w:w="2226"/>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R1,027,107.12</w:t>
            </w:r>
          </w:p>
        </w:tc>
      </w:tr>
      <w:tr>
        <w:tc>
          <w:tcPr>
            <w:tcW w:type="dxa" w:w="420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Unlawful salary deduction — principal amount</w:t>
            </w:r>
          </w:p>
        </w:tc>
        <w:tc>
          <w:tcPr>
            <w:tcW w:type="dxa" w:w="260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BCEA s34(2) / s77A</w:t>
            </w:r>
          </w:p>
        </w:tc>
        <w:tc>
          <w:tcPr>
            <w:tcW w:type="dxa" w:w="2226"/>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R14,811.77</w:t>
            </w:r>
          </w:p>
        </w:tc>
      </w:tr>
      <w:tr>
        <w:tc>
          <w:tcPr>
            <w:tcW w:type="dxa" w:w="4200"/>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Interest on unlawful deduction (prescribed rate from 23 July 2025)</w:t>
            </w:r>
          </w:p>
        </w:tc>
        <w:tc>
          <w:tcPr>
            <w:tcW w:type="dxa" w:w="2600"/>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Prescribed Rate Act</w:t>
            </w:r>
          </w:p>
        </w:tc>
        <w:tc>
          <w:tcPr>
            <w:tcW w:type="dxa" w:w="2226"/>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To be calculated</w:t>
            </w:r>
          </w:p>
        </w:tc>
      </w:tr>
      <w:tr>
        <w:tc>
          <w:tcPr>
            <w:tcW w:type="dxa" w:w="420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EEA — solatium for injury to dignity
(sexual orientation / disability discrimination)</w:t>
            </w:r>
          </w:p>
        </w:tc>
        <w:tc>
          <w:tcPr>
            <w:tcW w:type="dxa" w:w="260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EEA s50(2)</w:t>
            </w:r>
          </w:p>
        </w:tc>
        <w:tc>
          <w:tcPr>
            <w:tcW w:type="dxa" w:w="2226"/>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R350,000.00</w:t>
            </w:r>
          </w:p>
        </w:tc>
      </w:tr>
      <w:tr>
        <w:tc>
          <w:tcPr>
            <w:tcW w:type="dxa" w:w="4200"/>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EEA — compensation for failure to reasonably accommodate</w:t>
            </w:r>
          </w:p>
        </w:tc>
        <w:tc>
          <w:tcPr>
            <w:tcW w:type="dxa" w:w="2600"/>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EEA s50(2)</w:t>
            </w:r>
          </w:p>
        </w:tc>
        <w:tc>
          <w:tcPr>
            <w:tcW w:type="dxa" w:w="2226"/>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To be assessed</w:t>
            </w:r>
          </w:p>
        </w:tc>
      </w:tr>
      <w:tr>
        <w:tc>
          <w:tcPr>
            <w:tcW w:type="dxa" w:w="420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PDA — compensation for occupational detriment
(financial loss, SANC registration, CPUT opportunity)</w:t>
            </w:r>
          </w:p>
        </w:tc>
        <w:tc>
          <w:tcPr>
            <w:tcW w:type="dxa" w:w="260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PDA s4</w:t>
            </w:r>
          </w:p>
        </w:tc>
        <w:tc>
          <w:tcPr>
            <w:tcW w:type="dxa" w:w="2226"/>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To be assessed</w:t>
            </w:r>
          </w:p>
        </w:tc>
      </w:tr>
      <w:tr>
        <w:tc>
          <w:tcPr>
            <w:tcW w:type="dxa" w:w="4200"/>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Consequential damages: lost CPUT programme
(registration fees and associated costs)</w:t>
            </w:r>
          </w:p>
        </w:tc>
        <w:tc>
          <w:tcPr>
            <w:tcW w:type="dxa" w:w="2600"/>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PDA s4 / general damages</w:t>
            </w:r>
          </w:p>
        </w:tc>
        <w:tc>
          <w:tcPr>
            <w:tcW w:type="dxa" w:w="2226"/>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To be quantified</w:t>
            </w:r>
          </w:p>
        </w:tc>
      </w:tr>
      <w:tr>
        <w:tc>
          <w:tcPr>
            <w:tcW w:type="dxa" w:w="420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Career destruction damages: loss of nursing registration and future earning capacity</w:t>
            </w:r>
          </w:p>
        </w:tc>
        <w:tc>
          <w:tcPr>
            <w:tcW w:type="dxa" w:w="260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PDA s4 / general damages</w:t>
            </w:r>
          </w:p>
        </w:tc>
        <w:tc>
          <w:tcPr>
            <w:tcW w:type="dxa" w:w="2226"/>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0"/>
                <w:szCs w:val="200"/>
              </w:rPr>
              <w:t xml:space="preserve">To be assessed</w:t>
            </w:r>
          </w:p>
        </w:tc>
      </w:tr>
      <w:tr>
        <w:tc>
          <w:tcPr>
            <w:tcW w:type="dxa" w:w="4200"/>
            <w:shd w:fill="E8F0F8" w:val="clear"/>
            <w:tcMar>
              <w:top w:type="dxa" w:w="80"/>
              <w:left w:type="dxa" w:w="120"/>
              <w:bottom w:type="dxa" w:w="80"/>
              <w:right w:type="dxa" w:w="120"/>
            </w:tcMar>
          </w:tcPr>
          <w:p>
            <w:r>
              <w:rPr>
                <w:rFonts w:ascii="Times New Roman" w:cs="Times New Roman" w:eastAsia="Times New Roman" w:hAnsi="Times New Roman"/>
                <w:b/>
                <w:bCs/>
                <w:color w:val="000000"/>
                <w:sz w:val="200"/>
                <w:szCs w:val="200"/>
              </w:rPr>
              <w:t xml:space="preserve">TOTAL (known components)</w:t>
            </w:r>
          </w:p>
        </w:tc>
        <w:tc>
          <w:tcPr>
            <w:tcW w:type="dxa" w:w="2600"/>
            <w:shd w:fill="E8F0F8" w:val="clear"/>
            <w:tcMar>
              <w:top w:type="dxa" w:w="80"/>
              <w:left w:type="dxa" w:w="120"/>
              <w:bottom w:type="dxa" w:w="80"/>
              <w:right w:type="dxa" w:w="120"/>
            </w:tcMar>
          </w:tcPr>
          <w:p>
            <w:r>
              <w:rPr>
                <w:rFonts w:ascii="Times New Roman" w:cs="Times New Roman" w:eastAsia="Times New Roman" w:hAnsi="Times New Roman"/>
                <w:b/>
                <w:bCs/>
                <w:color w:val="000000"/>
                <w:sz w:val="200"/>
                <w:szCs w:val="200"/>
              </w:rPr>
              <w:t xml:space="preserve"/>
            </w:r>
          </w:p>
        </w:tc>
        <w:tc>
          <w:tcPr>
            <w:tcW w:type="dxa" w:w="2226"/>
            <w:shd w:fill="E8F0F8" w:val="clear"/>
            <w:tcMar>
              <w:top w:type="dxa" w:w="80"/>
              <w:left w:type="dxa" w:w="120"/>
              <w:bottom w:type="dxa" w:w="80"/>
              <w:right w:type="dxa" w:w="120"/>
            </w:tcMar>
          </w:tcPr>
          <w:p>
            <w:r>
              <w:rPr>
                <w:rFonts w:ascii="Times New Roman" w:cs="Times New Roman" w:eastAsia="Times New Roman" w:hAnsi="Times New Roman"/>
                <w:b/>
                <w:bCs/>
                <w:color w:val="000000"/>
                <w:sz w:val="200"/>
                <w:szCs w:val="200"/>
              </w:rPr>
              <w:t xml:space="preserve">R1,391,918.89
plus assessed amounts</w:t>
            </w:r>
          </w:p>
        </w:tc>
      </w:tr>
    </w:tbl>
    <w:p>
      <w:pPr>
        <w:spacing w:after="80" w:before="0"/>
      </w:pPr>
    </w:p>
    <w:tbl>
      <w:tblPr>
        <w:tblW w:type="dxa" w:w="9026"/>
        <w:tblBorders>
          <w:top w:val="single" w:color="B8860B" w:sz="4"/>
          <w:left w:val="thick" w:color="B8860B" w:sz="8"/>
          <w:bottom w:val="single" w:color="B8860B" w:sz="4"/>
          <w:right w:val="single" w:color="B8860B" w:sz="4"/>
          <w:insideH w:val="single" w:color="auto" w:sz="4"/>
          <w:insideV w:val="single" w:color="auto" w:sz="4"/>
        </w:tblBorders>
      </w:tblPr>
      <w:tblGrid>
        <w:gridCol w:w="100"/>
      </w:tblGrid>
      <w:tr>
        <w:tc>
          <w:tcPr>
            <w:tcW w:type="dxa" w:w="9026"/>
            <w:shd w:fill="FFFDE7" w:val="clear"/>
            <w:tcMar>
              <w:top w:type="dxa" w:w="120"/>
              <w:left w:type="dxa" w:w="200"/>
              <w:bottom w:type="dxa" w:w="120"/>
              <w:right w:type="dxa" w:w="200"/>
            </w:tcMar>
          </w:tcPr>
          <w:p>
            <w:pPr>
              <w:spacing w:after="40" w:before="40"/>
              <w:jc w:val="both"/>
            </w:pPr>
            <w:r>
              <w:rPr>
                <w:rFonts w:ascii="Times New Roman" w:cs="Times New Roman" w:eastAsia="Times New Roman" w:hAnsi="Times New Roman"/>
                <w:i/>
                <w:iCs/>
                <w:sz w:val="220"/>
                <w:szCs w:val="220"/>
              </w:rPr>
              <w:t xml:space="preserve">Items marked 'to be assessed' or 'to be quantified' will be supplemented by expert evidence and/or further particulars as the matter develops. The Applicant reserves the right to amend the quantum of the claim upon receipt of further documentation from the Respondents.</w:t>
            </w:r>
          </w:p>
        </w:tc>
      </w:tr>
    </w:tbl>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R: Relief Sought</w:t>
      </w:r>
    </w:p>
    <w:p>
      <w:pPr>
        <w:spacing w:after="80" w:before="180"/>
      </w:pPr>
      <w:r>
        <w:rPr>
          <w:rFonts w:ascii="Times New Roman" w:cs="Times New Roman" w:eastAsia="Times New Roman" w:hAnsi="Times New Roman"/>
          <w:b/>
          <w:bCs/>
          <w:sz w:val="240"/>
          <w:szCs w:val="240"/>
          <w:u w:val="single"/>
        </w:rPr>
        <w:t xml:space="preserve">A.  Declaratory Relief</w:t>
      </w:r>
    </w:p>
    <w:p>
      <w:pPr>
        <w:spacing w:after="80" w:before="40"/>
        <w:ind w:left="720" w:hanging="360"/>
        <w:jc w:val="both"/>
      </w:pPr>
      <w:r>
        <w:rPr>
          <w:rFonts w:ascii="Times New Roman" w:cs="Times New Roman" w:eastAsia="Times New Roman" w:hAnsi="Times New Roman"/>
          <w:b/>
          <w:bCs/>
          <w:sz w:val="240"/>
          <w:szCs w:val="240"/>
        </w:rPr>
        <w:t xml:space="preserve">R.1.</w:t>
      </w:r>
      <w:r>
        <w:rPr>
          <w:rFonts w:ascii="Times New Roman" w:cs="Times New Roman" w:eastAsia="Times New Roman" w:hAnsi="Times New Roman"/>
          <w:sz w:val="240"/>
          <w:szCs w:val="240"/>
        </w:rPr>
        <w:t xml:space="preserve">	A declaration that the Applicant's dismissal constitutes an automatically unfair constructive dismissal within the meaning of sections 186(1)(e) and 187(1)(h) of the LRA, on the grounds that the dominant reason for the dismissal was retaliation by the Respondents for the Applicant making protected disclosures as defined in the PDA.</w:t>
      </w:r>
    </w:p>
    <w:p>
      <w:pPr>
        <w:spacing w:after="80" w:before="40"/>
        <w:ind w:left="720" w:hanging="360"/>
        <w:jc w:val="both"/>
      </w:pPr>
      <w:r>
        <w:rPr>
          <w:rFonts w:ascii="Times New Roman" w:cs="Times New Roman" w:eastAsia="Times New Roman" w:hAnsi="Times New Roman"/>
          <w:b/>
          <w:bCs/>
          <w:sz w:val="240"/>
          <w:szCs w:val="240"/>
        </w:rPr>
        <w:t xml:space="preserve">R.2.</w:t>
      </w:r>
      <w:r>
        <w:rPr>
          <w:rFonts w:ascii="Times New Roman" w:cs="Times New Roman" w:eastAsia="Times New Roman" w:hAnsi="Times New Roman"/>
          <w:sz w:val="240"/>
          <w:szCs w:val="240"/>
        </w:rPr>
        <w:t xml:space="preserve">	Alternatively to R.1, a declaration that the dismissal was automatically unfair within the meaning of sections 186(1)(e) and 187(1)(f) of the LRA on the grounds that a dominant reason for the dismissal relates to the Applicant's disability.</w:t>
      </w:r>
    </w:p>
    <w:p>
      <w:pPr>
        <w:spacing w:after="80" w:before="40"/>
        <w:ind w:left="720" w:hanging="360"/>
        <w:jc w:val="both"/>
      </w:pPr>
      <w:r>
        <w:rPr>
          <w:rFonts w:ascii="Times New Roman" w:cs="Times New Roman" w:eastAsia="Times New Roman" w:hAnsi="Times New Roman"/>
          <w:b/>
          <w:bCs/>
          <w:sz w:val="240"/>
          <w:szCs w:val="240"/>
        </w:rPr>
        <w:t xml:space="preserve">R.3.</w:t>
      </w:r>
      <w:r>
        <w:rPr>
          <w:rFonts w:ascii="Times New Roman" w:cs="Times New Roman" w:eastAsia="Times New Roman" w:hAnsi="Times New Roman"/>
          <w:sz w:val="240"/>
          <w:szCs w:val="240"/>
        </w:rPr>
        <w:t xml:space="preserve">	Further alternatively, a declaration that the dismissal was unfair within the meaning of section 185 of the LRA.</w:t>
      </w:r>
    </w:p>
    <w:p>
      <w:pPr>
        <w:spacing w:after="80" w:before="180"/>
      </w:pPr>
      <w:r>
        <w:rPr>
          <w:rFonts w:ascii="Times New Roman" w:cs="Times New Roman" w:eastAsia="Times New Roman" w:hAnsi="Times New Roman"/>
          <w:b/>
          <w:bCs/>
          <w:sz w:val="240"/>
          <w:szCs w:val="240"/>
          <w:u w:val="single"/>
        </w:rPr>
        <w:t xml:space="preserve">B.  Compensation and Damages</w:t>
      </w:r>
    </w:p>
    <w:p>
      <w:pPr>
        <w:spacing w:after="80" w:before="40"/>
        <w:ind w:left="720" w:hanging="360"/>
        <w:jc w:val="both"/>
      </w:pPr>
      <w:r>
        <w:rPr>
          <w:rFonts w:ascii="Times New Roman" w:cs="Times New Roman" w:eastAsia="Times New Roman" w:hAnsi="Times New Roman"/>
          <w:b/>
          <w:bCs/>
          <w:sz w:val="240"/>
          <w:szCs w:val="240"/>
        </w:rPr>
        <w:t xml:space="preserve">R.4.</w:t>
      </w:r>
      <w:r>
        <w:rPr>
          <w:rFonts w:ascii="Times New Roman" w:cs="Times New Roman" w:eastAsia="Times New Roman" w:hAnsi="Times New Roman"/>
          <w:sz w:val="240"/>
          <w:szCs w:val="240"/>
        </w:rPr>
        <w:t xml:space="preserve">	An order that the First and/or Second Respondents pay the Applicant compensation equal to 24 months' remuneration as provided for in section 194(3) of the LRA for an automatically unfair dismissal, calculated at his monthly cost-to-company of R42,796.13 per month, amounting to R1,027,107.12, alternatively the maximum permissible compensation amount.</w:t>
      </w:r>
    </w:p>
    <w:p>
      <w:pPr>
        <w:spacing w:after="80" w:before="40"/>
        <w:ind w:left="720" w:hanging="360"/>
        <w:jc w:val="both"/>
      </w:pPr>
      <w:r>
        <w:rPr>
          <w:rFonts w:ascii="Times New Roman" w:cs="Times New Roman" w:eastAsia="Times New Roman" w:hAnsi="Times New Roman"/>
          <w:b/>
          <w:bCs/>
          <w:sz w:val="240"/>
          <w:szCs w:val="240"/>
        </w:rPr>
        <w:t xml:space="preserve">R.5.</w:t>
      </w:r>
      <w:r>
        <w:rPr>
          <w:rFonts w:ascii="Times New Roman" w:cs="Times New Roman" w:eastAsia="Times New Roman" w:hAnsi="Times New Roman"/>
          <w:sz w:val="240"/>
          <w:szCs w:val="240"/>
        </w:rPr>
        <w:t xml:space="preserve">	An order that the First and/or Second Respondents reimburse the Applicant the unlawfully deducted amount of R14,811.77 together with interest at the prescribed rate calculated from 23 July 2025 to the date of final payment, alternatively that this relief be granted in Case No. 2026-077546.</w:t>
      </w:r>
    </w:p>
    <w:p>
      <w:pPr>
        <w:spacing w:after="80" w:before="40"/>
        <w:ind w:left="720" w:hanging="360"/>
        <w:jc w:val="both"/>
      </w:pPr>
      <w:r>
        <w:rPr>
          <w:rFonts w:ascii="Times New Roman" w:cs="Times New Roman" w:eastAsia="Times New Roman" w:hAnsi="Times New Roman"/>
          <w:b/>
          <w:bCs/>
          <w:sz w:val="240"/>
          <w:szCs w:val="240"/>
        </w:rPr>
        <w:t xml:space="preserve">R.6.</w:t>
      </w:r>
      <w:r>
        <w:rPr>
          <w:rFonts w:ascii="Times New Roman" w:cs="Times New Roman" w:eastAsia="Times New Roman" w:hAnsi="Times New Roman"/>
          <w:sz w:val="240"/>
          <w:szCs w:val="240"/>
        </w:rPr>
        <w:t xml:space="preserve">	An order that the First and/or Second Respondents pay the Applicant compensation in terms of section 50(2) of the EEA for unfair discrimination on the grounds of sexual orientation, gender identity and disability, including solatium for injury to dignity in the amount of R350,000, alternatively such amount as this Court deems just and equitable.</w:t>
      </w:r>
    </w:p>
    <w:p>
      <w:pPr>
        <w:spacing w:after="80" w:before="40"/>
        <w:ind w:left="720" w:hanging="360"/>
        <w:jc w:val="both"/>
      </w:pPr>
      <w:r>
        <w:rPr>
          <w:rFonts w:ascii="Times New Roman" w:cs="Times New Roman" w:eastAsia="Times New Roman" w:hAnsi="Times New Roman"/>
          <w:b/>
          <w:bCs/>
          <w:sz w:val="240"/>
          <w:szCs w:val="240"/>
        </w:rPr>
        <w:t xml:space="preserve">R.7.</w:t>
      </w:r>
      <w:r>
        <w:rPr>
          <w:rFonts w:ascii="Times New Roman" w:cs="Times New Roman" w:eastAsia="Times New Roman" w:hAnsi="Times New Roman"/>
          <w:sz w:val="240"/>
          <w:szCs w:val="240"/>
        </w:rPr>
        <w:t xml:space="preserve">	An order that the First and/or Second Respondents pay the Applicant compensation for occupational detriment under section 4 of the PDA, including compensation for all financial loss, career destruction, loss of nursing registration, and the lost opportunity to pursue the CPUT Postgraduate Diploma in Occupational Health Nursing, in amounts to be assessed or proved.</w:t>
      </w:r>
    </w:p>
    <w:p>
      <w:pPr>
        <w:spacing w:after="80" w:before="180"/>
      </w:pPr>
      <w:r>
        <w:rPr>
          <w:rFonts w:ascii="Times New Roman" w:cs="Times New Roman" w:eastAsia="Times New Roman" w:hAnsi="Times New Roman"/>
          <w:b/>
          <w:bCs/>
          <w:sz w:val="240"/>
          <w:szCs w:val="240"/>
          <w:u w:val="single"/>
        </w:rPr>
        <w:t xml:space="preserve">C.  Corrective Orders</w:t>
      </w:r>
    </w:p>
    <w:p>
      <w:pPr>
        <w:spacing w:after="80" w:before="40"/>
        <w:ind w:left="720" w:hanging="360"/>
        <w:jc w:val="both"/>
      </w:pPr>
      <w:r>
        <w:rPr>
          <w:rFonts w:ascii="Times New Roman" w:cs="Times New Roman" w:eastAsia="Times New Roman" w:hAnsi="Times New Roman"/>
          <w:b/>
          <w:bCs/>
          <w:sz w:val="240"/>
          <w:szCs w:val="240"/>
        </w:rPr>
        <w:t xml:space="preserve">R.8.</w:t>
      </w:r>
      <w:r>
        <w:rPr>
          <w:rFonts w:ascii="Times New Roman" w:cs="Times New Roman" w:eastAsia="Times New Roman" w:hAnsi="Times New Roman"/>
          <w:sz w:val="240"/>
          <w:szCs w:val="240"/>
        </w:rPr>
        <w:t xml:space="preserve">	An order directing the First and/or Second Respondents to issue a corrected Certificate of Service reflecting the Applicant's true designation as Health Services Management Nurse Specialist / Case Manager (NQF Level 8) in compliance with section 42 of the BCEA, within 10 business days of the grant of this order.</w:t>
      </w:r>
    </w:p>
    <w:p>
      <w:pPr>
        <w:spacing w:after="80" w:before="40"/>
        <w:ind w:left="720" w:hanging="360"/>
        <w:jc w:val="both"/>
      </w:pPr>
      <w:r>
        <w:rPr>
          <w:rFonts w:ascii="Times New Roman" w:cs="Times New Roman" w:eastAsia="Times New Roman" w:hAnsi="Times New Roman"/>
          <w:b/>
          <w:bCs/>
          <w:sz w:val="240"/>
          <w:szCs w:val="240"/>
        </w:rPr>
        <w:t xml:space="preserve">R.9.</w:t>
      </w:r>
      <w:r>
        <w:rPr>
          <w:rFonts w:ascii="Times New Roman" w:cs="Times New Roman" w:eastAsia="Times New Roman" w:hAnsi="Times New Roman"/>
          <w:sz w:val="240"/>
          <w:szCs w:val="240"/>
        </w:rPr>
        <w:t xml:space="preserve">	An order directing the First and/or Second Respondents to remit the outstanding UIF contributions for June 2025 to the Unemployment Insurance Fund and to provide the Applicant with a corrected UI-19 form within 10 business days, in compliance with the Unemployment Insurance Contributions Act 4 of 2002 and section 37 of the Unemployment Insurance Act 63 of 2001.</w:t>
      </w:r>
    </w:p>
    <w:p>
      <w:pPr>
        <w:spacing w:after="80" w:before="180"/>
      </w:pPr>
      <w:r>
        <w:rPr>
          <w:rFonts w:ascii="Times New Roman" w:cs="Times New Roman" w:eastAsia="Times New Roman" w:hAnsi="Times New Roman"/>
          <w:b/>
          <w:bCs/>
          <w:sz w:val="240"/>
          <w:szCs w:val="240"/>
          <w:u w:val="single"/>
        </w:rPr>
        <w:t xml:space="preserve">D.  Costs</w:t>
      </w:r>
    </w:p>
    <w:p>
      <w:pPr>
        <w:spacing w:after="80" w:before="40"/>
        <w:ind w:left="720" w:hanging="360"/>
        <w:jc w:val="both"/>
      </w:pPr>
      <w:r>
        <w:rPr>
          <w:rFonts w:ascii="Times New Roman" w:cs="Times New Roman" w:eastAsia="Times New Roman" w:hAnsi="Times New Roman"/>
          <w:b/>
          <w:bCs/>
          <w:sz w:val="240"/>
          <w:szCs w:val="240"/>
        </w:rPr>
        <w:t xml:space="preserve">R.10.</w:t>
      </w:r>
      <w:r>
        <w:rPr>
          <w:rFonts w:ascii="Times New Roman" w:cs="Times New Roman" w:eastAsia="Times New Roman" w:hAnsi="Times New Roman"/>
          <w:sz w:val="240"/>
          <w:szCs w:val="240"/>
        </w:rPr>
        <w:t xml:space="preserve">	Costs of suit on an attorney-and-client scale, in terms of section 162 of the LRA and the inherent jurisdiction of this Court, having regard to:</w:t>
      </w:r>
    </w:p>
    <w:p>
      <w:pPr>
        <w:spacing w:after="80" w:before="40"/>
        <w:ind w:left="1080" w:hanging="360"/>
        <w:jc w:val="both"/>
      </w:pPr>
      <w:r>
        <w:rPr>
          <w:rFonts w:ascii="Times New Roman" w:cs="Times New Roman" w:eastAsia="Times New Roman" w:hAnsi="Times New Roman"/>
          <w:sz w:val="240"/>
          <w:szCs w:val="240"/>
        </w:rPr>
        <w:t xml:space="preserve">(a)</w:t>
      </w:r>
      <w:r>
        <w:rPr>
          <w:rFonts w:ascii="Times New Roman" w:cs="Times New Roman" w:eastAsia="Times New Roman" w:hAnsi="Times New Roman"/>
          <w:sz w:val="240"/>
          <w:szCs w:val="240"/>
        </w:rPr>
        <w:t xml:space="preserve">	the Respondents' bad faith conduct, including the filing of a defamatory opposing affidavit attacking the Applicant's documented psychiatric condition under oath;</w:t>
      </w:r>
    </w:p>
    <w:p>
      <w:pPr>
        <w:spacing w:after="80" w:before="40"/>
        <w:ind w:left="1080" w:hanging="360"/>
        <w:jc w:val="both"/>
      </w:pPr>
      <w:r>
        <w:rPr>
          <w:rFonts w:ascii="Times New Roman" w:cs="Times New Roman" w:eastAsia="Times New Roman" w:hAnsi="Times New Roman"/>
          <w:sz w:val="240"/>
          <w:szCs w:val="240"/>
        </w:rPr>
        <w:t xml:space="preserve">(b)</w:t>
      </w:r>
      <w:r>
        <w:rPr>
          <w:rFonts w:ascii="Times New Roman" w:cs="Times New Roman" w:eastAsia="Times New Roman" w:hAnsi="Times New Roman"/>
          <w:sz w:val="240"/>
          <w:szCs w:val="240"/>
        </w:rPr>
        <w:t xml:space="preserve">	the systematic institutional cover-up, whitewash investigations, and 30+ days of deliberate institutional silence;</w:t>
      </w:r>
    </w:p>
    <w:p>
      <w:pPr>
        <w:spacing w:after="80" w:before="40"/>
        <w:ind w:left="1080" w:hanging="360"/>
        <w:jc w:val="both"/>
      </w:pPr>
      <w:r>
        <w:rPr>
          <w:rFonts w:ascii="Times New Roman" w:cs="Times New Roman" w:eastAsia="Times New Roman" w:hAnsi="Times New Roman"/>
          <w:sz w:val="240"/>
          <w:szCs w:val="240"/>
        </w:rPr>
        <w:t xml:space="preserve">(c)</w:t>
      </w:r>
      <w:r>
        <w:rPr>
          <w:rFonts w:ascii="Times New Roman" w:cs="Times New Roman" w:eastAsia="Times New Roman" w:hAnsi="Times New Roman"/>
          <w:sz w:val="240"/>
          <w:szCs w:val="240"/>
        </w:rPr>
        <w:t xml:space="preserve">	the post-resignation victimisation through misrepresentation of the Certificate of Service and UIF non-declaration; and</w:t>
      </w:r>
    </w:p>
    <w:p>
      <w:pPr>
        <w:spacing w:after="80" w:before="40"/>
        <w:ind w:left="1080" w:hanging="360"/>
        <w:jc w:val="both"/>
      </w:pPr>
      <w:r>
        <w:rPr>
          <w:rFonts w:ascii="Times New Roman" w:cs="Times New Roman" w:eastAsia="Times New Roman" w:hAnsi="Times New Roman"/>
          <w:sz w:val="240"/>
          <w:szCs w:val="240"/>
        </w:rPr>
        <w:t xml:space="preserve">(d)</w:t>
      </w:r>
      <w:r>
        <w:rPr>
          <w:rFonts w:ascii="Times New Roman" w:cs="Times New Roman" w:eastAsia="Times New Roman" w:hAnsi="Times New Roman"/>
          <w:sz w:val="240"/>
          <w:szCs w:val="240"/>
        </w:rPr>
        <w:t xml:space="preserve">	the Chief Risk Officer's gatekeeping communications designed to prevent Board-level accountability.</w:t>
      </w:r>
    </w:p>
    <w:p>
      <w:pPr>
        <w:spacing w:after="80" w:before="180"/>
      </w:pPr>
      <w:r>
        <w:rPr>
          <w:rFonts w:ascii="Times New Roman" w:cs="Times New Roman" w:eastAsia="Times New Roman" w:hAnsi="Times New Roman"/>
          <w:b/>
          <w:bCs/>
          <w:sz w:val="240"/>
          <w:szCs w:val="240"/>
          <w:u w:val="single"/>
        </w:rPr>
        <w:t xml:space="preserve">E.  Further and/or Alternative Relief</w:t>
      </w:r>
    </w:p>
    <w:p>
      <w:pPr>
        <w:spacing w:after="80" w:before="40"/>
        <w:ind w:left="720" w:hanging="360"/>
        <w:jc w:val="both"/>
      </w:pPr>
      <w:r>
        <w:rPr>
          <w:rFonts w:ascii="Times New Roman" w:cs="Times New Roman" w:eastAsia="Times New Roman" w:hAnsi="Times New Roman"/>
          <w:b/>
          <w:bCs/>
          <w:sz w:val="240"/>
          <w:szCs w:val="240"/>
        </w:rPr>
        <w:t xml:space="preserve">R.11.</w:t>
      </w:r>
      <w:r>
        <w:rPr>
          <w:rFonts w:ascii="Times New Roman" w:cs="Times New Roman" w:eastAsia="Times New Roman" w:hAnsi="Times New Roman"/>
          <w:sz w:val="240"/>
          <w:szCs w:val="240"/>
        </w:rPr>
        <w:t xml:space="preserve">	Further and/or alternative relief as this Honourable Court deems just and equitable in the circumstances.</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Reservation of Rights Regarding Personal Liability</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The Applicant expressly reserves the right to apply for joinder of any director, officer, or employee of the Respondents (including Bruno Fernandes, Dr Nkateko Munisi, Alice le Roux, Gerald Van Wyk, LSM Mpumlwana, Mary-Ann Jones, Mapule Mashele, Xolile Vincent Manyathi, and Lisa Mari) in the event that the Court orders a personal liability enquiry under section 162 of the Companies Act 71 of 2008, section 60 of the EEA, or section 4 of the PDA, or in any separate proceedings as the evidence may warrant. No criminal or perjury proceedings are sought in this Statement of Claim.</w:t>
      </w:r>
    </w:p>
    <w:p>
      <w:pPr>
        <w:spacing w:after="120" w:before="0"/>
      </w:pP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Part S: Verification and Declaration</w:t>
      </w:r>
    </w:p>
    <w:p>
      <w:pPr>
        <w:spacing w:after="80" w:before="40"/>
        <w:jc w:val="both"/>
      </w:pPr>
      <w:r>
        <w:rPr>
          <w:rFonts w:ascii="Times New Roman" w:cs="Times New Roman" w:eastAsia="Times New Roman" w:hAnsi="Times New Roman"/>
          <w:b w:val="false"/>
          <w:bCs w:val="false"/>
          <w:i w:val="false"/>
          <w:iCs w:val="false"/>
          <w:color w:val="000000"/>
          <w:sz w:val="240"/>
          <w:szCs w:val="240"/>
        </w:rPr>
        <w:t xml:space="preserve">I, WILBUR WILLIAM MATTHEE, the Applicant herein, declare that the facts set out in this Statement of Claim are within my personal knowledge, save where indicated to the contrary, and are to the best of my knowledge true and correct.</w:t>
      </w:r>
    </w:p>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shd w:fill="F5F5F5" w:val="clear"/>
            <w:tcMar>
              <w:top w:type="dxa" w:w="80"/>
              <w:left w:type="dxa" w:w="120"/>
              <w:bottom w:type="dxa" w:w="80"/>
              <w:right w:type="dxa" w:w="120"/>
            </w:tcMar>
          </w:tcPr>
          <w:p>
            <w:r>
              <w:rPr>
                <w:rFonts w:ascii="Times New Roman" w:cs="Times New Roman" w:eastAsia="Times New Roman" w:hAnsi="Times New Roman"/>
                <w:b/>
                <w:bCs/>
                <w:sz w:val="220"/>
                <w:szCs w:val="220"/>
              </w:rPr>
              <w:t xml:space="preserve">Signature</w:t>
            </w:r>
          </w:p>
        </w:tc>
        <w:tc>
          <w:tcPr>
            <w:tcW w:type="dxa" w:w="6226"/>
            <w:tcMar>
              <w:top w:type="dxa" w:w="80"/>
              <w:left w:type="dxa" w:w="120"/>
              <w:bottom w:type="dxa" w:w="80"/>
              <w:right w:type="dxa" w:w="120"/>
            </w:tcMar>
          </w:tcPr>
          <w:p>
            <w:r>
              <w:rPr>
                <w:rFonts w:ascii="Times New Roman" w:cs="Times New Roman" w:eastAsia="Times New Roman" w:hAnsi="Times New Roman"/>
                <w:sz w:val="220"/>
                <w:szCs w:val="220"/>
              </w:rPr>
              <w:t xml:space="preserve">_______________________________________</w:t>
            </w:r>
          </w:p>
        </w:tc>
      </w:tr>
      <w:tr>
        <w:tc>
          <w:tcPr>
            <w:tcW w:type="dxa" w:w="2800"/>
            <w:shd w:fill="F5F5F5" w:val="clear"/>
            <w:tcMar>
              <w:top w:type="dxa" w:w="80"/>
              <w:left w:type="dxa" w:w="120"/>
              <w:bottom w:type="dxa" w:w="80"/>
              <w:right w:type="dxa" w:w="120"/>
            </w:tcMar>
          </w:tcPr>
          <w:p>
            <w:r>
              <w:rPr>
                <w:rFonts w:ascii="Times New Roman" w:cs="Times New Roman" w:eastAsia="Times New Roman" w:hAnsi="Times New Roman"/>
                <w:b/>
                <w:bCs/>
                <w:sz w:val="220"/>
                <w:szCs w:val="220"/>
              </w:rPr>
              <w:t xml:space="preserve">Full Name</w:t>
            </w:r>
          </w:p>
        </w:tc>
        <w:tc>
          <w:tcPr>
            <w:tcW w:type="dxa" w:w="6226"/>
            <w:tcMar>
              <w:top w:type="dxa" w:w="80"/>
              <w:left w:type="dxa" w:w="120"/>
              <w:bottom w:type="dxa" w:w="80"/>
              <w:right w:type="dxa" w:w="120"/>
            </w:tcMar>
          </w:tcPr>
          <w:p>
            <w:r>
              <w:rPr>
                <w:rFonts w:ascii="Times New Roman" w:cs="Times New Roman" w:eastAsia="Times New Roman" w:hAnsi="Times New Roman"/>
                <w:sz w:val="220"/>
                <w:szCs w:val="220"/>
              </w:rPr>
              <w:t xml:space="preserve">WILBUR WILLIAM MATTHEE</w:t>
            </w:r>
          </w:p>
        </w:tc>
      </w:tr>
      <w:tr>
        <w:tc>
          <w:tcPr>
            <w:tcW w:type="dxa" w:w="2800"/>
            <w:shd w:fill="F5F5F5" w:val="clear"/>
            <w:tcMar>
              <w:top w:type="dxa" w:w="80"/>
              <w:left w:type="dxa" w:w="120"/>
              <w:bottom w:type="dxa" w:w="80"/>
              <w:right w:type="dxa" w:w="120"/>
            </w:tcMar>
          </w:tcPr>
          <w:p>
            <w:r>
              <w:rPr>
                <w:rFonts w:ascii="Times New Roman" w:cs="Times New Roman" w:eastAsia="Times New Roman" w:hAnsi="Times New Roman"/>
                <w:b/>
                <w:bCs/>
                <w:sz w:val="220"/>
                <w:szCs w:val="220"/>
              </w:rPr>
              <w:t xml:space="preserve">Identity Number</w:t>
            </w:r>
          </w:p>
        </w:tc>
        <w:tc>
          <w:tcPr>
            <w:tcW w:type="dxa" w:w="6226"/>
            <w:tcMar>
              <w:top w:type="dxa" w:w="80"/>
              <w:left w:type="dxa" w:w="120"/>
              <w:bottom w:type="dxa" w:w="80"/>
              <w:right w:type="dxa" w:w="120"/>
            </w:tcMar>
          </w:tcPr>
          <w:p>
            <w:r>
              <w:rPr>
                <w:rFonts w:ascii="Times New Roman" w:cs="Times New Roman" w:eastAsia="Times New Roman" w:hAnsi="Times New Roman"/>
                <w:sz w:val="220"/>
                <w:szCs w:val="220"/>
              </w:rPr>
              <w:t xml:space="preserve">890903 5151 087</w:t>
            </w:r>
          </w:p>
        </w:tc>
      </w:tr>
      <w:tr>
        <w:tc>
          <w:tcPr>
            <w:tcW w:type="dxa" w:w="2800"/>
            <w:shd w:fill="F5F5F5" w:val="clear"/>
            <w:tcMar>
              <w:top w:type="dxa" w:w="80"/>
              <w:left w:type="dxa" w:w="120"/>
              <w:bottom w:type="dxa" w:w="80"/>
              <w:right w:type="dxa" w:w="120"/>
            </w:tcMar>
          </w:tcPr>
          <w:p>
            <w:r>
              <w:rPr>
                <w:rFonts w:ascii="Times New Roman" w:cs="Times New Roman" w:eastAsia="Times New Roman" w:hAnsi="Times New Roman"/>
                <w:b/>
                <w:bCs/>
                <w:sz w:val="220"/>
                <w:szCs w:val="220"/>
              </w:rPr>
              <w:t xml:space="preserve">Capacity</w:t>
            </w:r>
          </w:p>
        </w:tc>
        <w:tc>
          <w:tcPr>
            <w:tcW w:type="dxa" w:w="6226"/>
            <w:tcMar>
              <w:top w:type="dxa" w:w="80"/>
              <w:left w:type="dxa" w:w="120"/>
              <w:bottom w:type="dxa" w:w="80"/>
              <w:right w:type="dxa" w:w="120"/>
            </w:tcMar>
          </w:tcPr>
          <w:p>
            <w:r>
              <w:rPr>
                <w:rFonts w:ascii="Times New Roman" w:cs="Times New Roman" w:eastAsia="Times New Roman" w:hAnsi="Times New Roman"/>
                <w:sz w:val="220"/>
                <w:szCs w:val="220"/>
              </w:rPr>
              <w:t xml:space="preserve">Applicant (Self-Represented)</w:t>
            </w:r>
          </w:p>
        </w:tc>
      </w:tr>
      <w:tr>
        <w:tc>
          <w:tcPr>
            <w:tcW w:type="dxa" w:w="2800"/>
            <w:shd w:fill="F5F5F5" w:val="clear"/>
            <w:tcMar>
              <w:top w:type="dxa" w:w="80"/>
              <w:left w:type="dxa" w:w="120"/>
              <w:bottom w:type="dxa" w:w="80"/>
              <w:right w:type="dxa" w:w="120"/>
            </w:tcMar>
          </w:tcPr>
          <w:p>
            <w:r>
              <w:rPr>
                <w:rFonts w:ascii="Times New Roman" w:cs="Times New Roman" w:eastAsia="Times New Roman" w:hAnsi="Times New Roman"/>
                <w:b/>
                <w:bCs/>
                <w:sz w:val="220"/>
                <w:szCs w:val="220"/>
              </w:rPr>
              <w:t xml:space="preserve">Email</w:t>
            </w:r>
          </w:p>
        </w:tc>
        <w:tc>
          <w:tcPr>
            <w:tcW w:type="dxa" w:w="6226"/>
            <w:tcMar>
              <w:top w:type="dxa" w:w="80"/>
              <w:left w:type="dxa" w:w="120"/>
              <w:bottom w:type="dxa" w:w="80"/>
              <w:right w:type="dxa" w:w="120"/>
            </w:tcMar>
          </w:tcPr>
          <w:p>
            <w:r>
              <w:rPr>
                <w:rFonts w:ascii="Times New Roman" w:cs="Times New Roman" w:eastAsia="Times New Roman" w:hAnsi="Times New Roman"/>
                <w:sz w:val="220"/>
                <w:szCs w:val="220"/>
              </w:rPr>
              <w:t xml:space="preserve">info@ethichawks.co.za</w:t>
            </w:r>
          </w:p>
        </w:tc>
      </w:tr>
      <w:tr>
        <w:tc>
          <w:tcPr>
            <w:tcW w:type="dxa" w:w="2800"/>
            <w:shd w:fill="F5F5F5" w:val="clear"/>
            <w:tcMar>
              <w:top w:type="dxa" w:w="80"/>
              <w:left w:type="dxa" w:w="120"/>
              <w:bottom w:type="dxa" w:w="80"/>
              <w:right w:type="dxa" w:w="120"/>
            </w:tcMar>
          </w:tcPr>
          <w:p>
            <w:r>
              <w:rPr>
                <w:rFonts w:ascii="Times New Roman" w:cs="Times New Roman" w:eastAsia="Times New Roman" w:hAnsi="Times New Roman"/>
                <w:b/>
                <w:bCs/>
                <w:sz w:val="220"/>
                <w:szCs w:val="220"/>
              </w:rPr>
              <w:t xml:space="preserve">Telephone</w:t>
            </w:r>
          </w:p>
        </w:tc>
        <w:tc>
          <w:tcPr>
            <w:tcW w:type="dxa" w:w="6226"/>
            <w:tcMar>
              <w:top w:type="dxa" w:w="80"/>
              <w:left w:type="dxa" w:w="120"/>
              <w:bottom w:type="dxa" w:w="80"/>
              <w:right w:type="dxa" w:w="120"/>
            </w:tcMar>
          </w:tcPr>
          <w:p>
            <w:r>
              <w:rPr>
                <w:rFonts w:ascii="Times New Roman" w:cs="Times New Roman" w:eastAsia="Times New Roman" w:hAnsi="Times New Roman"/>
                <w:sz w:val="220"/>
                <w:szCs w:val="220"/>
              </w:rPr>
              <w:t xml:space="preserve">069 635 1435 / 063 378 8782</w:t>
            </w:r>
          </w:p>
        </w:tc>
      </w:tr>
      <w:tr>
        <w:tc>
          <w:tcPr>
            <w:tcW w:type="dxa" w:w="2800"/>
            <w:shd w:fill="F5F5F5" w:val="clear"/>
            <w:tcMar>
              <w:top w:type="dxa" w:w="80"/>
              <w:left w:type="dxa" w:w="120"/>
              <w:bottom w:type="dxa" w:w="80"/>
              <w:right w:type="dxa" w:w="120"/>
            </w:tcMar>
          </w:tcPr>
          <w:p>
            <w:r>
              <w:rPr>
                <w:rFonts w:ascii="Times New Roman" w:cs="Times New Roman" w:eastAsia="Times New Roman" w:hAnsi="Times New Roman"/>
                <w:b/>
                <w:bCs/>
                <w:sz w:val="220"/>
                <w:szCs w:val="220"/>
              </w:rPr>
              <w:t xml:space="preserve">Date</w:t>
            </w:r>
          </w:p>
        </w:tc>
        <w:tc>
          <w:tcPr>
            <w:tcW w:type="dxa" w:w="6226"/>
            <w:tcMar>
              <w:top w:type="dxa" w:w="80"/>
              <w:left w:type="dxa" w:w="120"/>
              <w:bottom w:type="dxa" w:w="80"/>
              <w:right w:type="dxa" w:w="120"/>
            </w:tcMar>
          </w:tcPr>
          <w:p>
            <w:r>
              <w:rPr>
                <w:rFonts w:ascii="Times New Roman" w:cs="Times New Roman" w:eastAsia="Times New Roman" w:hAnsi="Times New Roman"/>
                <w:sz w:val="220"/>
                <w:szCs w:val="220"/>
              </w:rPr>
              <w:t xml:space="preserve">9 April 2026, Cape Town</w:t>
            </w:r>
          </w:p>
        </w:tc>
      </w:tr>
    </w:tbl>
    <w:p>
      <w:pPr>
        <w:spacing w:after="200" w:before="0"/>
      </w:pPr>
    </w:p>
    <w:p>
      <w:r>
        <w:br w:type="page"/>
      </w:r>
    </w:p>
    <w:p>
      <w:pPr>
        <w:pBdr>
          <w:bottom w:val="single" w:color="1A3557" w:sz="4" w:space="4"/>
        </w:pBdr>
        <w:spacing w:after="120" w:before="240"/>
      </w:pPr>
      <w:r>
        <w:rPr>
          <w:rFonts w:ascii="Times New Roman" w:cs="Times New Roman" w:eastAsia="Times New Roman" w:hAnsi="Times New Roman"/>
          <w:b/>
          <w:bCs/>
          <w:caps/>
          <w:color w:val="1A3557"/>
          <w:sz w:val="240"/>
          <w:szCs w:val="240"/>
        </w:rPr>
        <w:t xml:space="preserve">Schedule of Annexures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426"/>
        <w:gridCol w:w="2800"/>
      </w:tblGrid>
      <w:tr>
        <w:tc>
          <w:tcPr>
            <w:tcW w:type="dxa" w:w="800"/>
            <w:shd w:fill="1A3557" w:val="clear"/>
            <w:tcMar>
              <w:top w:type="dxa" w:w="80"/>
              <w:left w:type="dxa" w:w="120"/>
              <w:bottom w:type="dxa" w:w="80"/>
              <w:right w:type="dxa" w:w="120"/>
            </w:tcMar>
          </w:tcPr>
          <w:p>
            <w:r>
              <w:rPr>
                <w:rFonts w:ascii="Times New Roman" w:cs="Times New Roman" w:eastAsia="Times New Roman" w:hAnsi="Times New Roman"/>
                <w:b/>
                <w:bCs/>
                <w:color w:val="FFFFFF"/>
                <w:sz w:val="220"/>
                <w:szCs w:val="220"/>
              </w:rPr>
              <w:t xml:space="preserve">Tab</w:t>
            </w:r>
          </w:p>
        </w:tc>
        <w:tc>
          <w:tcPr>
            <w:tcW w:type="dxa" w:w="5426"/>
            <w:shd w:fill="1A3557" w:val="clear"/>
            <w:tcMar>
              <w:top w:type="dxa" w:w="80"/>
              <w:left w:type="dxa" w:w="120"/>
              <w:bottom w:type="dxa" w:w="80"/>
              <w:right w:type="dxa" w:w="120"/>
            </w:tcMar>
          </w:tcPr>
          <w:p>
            <w:r>
              <w:rPr>
                <w:rFonts w:ascii="Times New Roman" w:cs="Times New Roman" w:eastAsia="Times New Roman" w:hAnsi="Times New Roman"/>
                <w:b/>
                <w:bCs/>
                <w:color w:val="FFFFFF"/>
                <w:sz w:val="220"/>
                <w:szCs w:val="220"/>
              </w:rPr>
              <w:t xml:space="preserve">Description</w:t>
            </w:r>
          </w:p>
        </w:tc>
        <w:tc>
          <w:tcPr>
            <w:tcW w:type="dxa" w:w="2800"/>
            <w:shd w:fill="1A3557" w:val="clear"/>
            <w:tcMar>
              <w:top w:type="dxa" w:w="80"/>
              <w:left w:type="dxa" w:w="120"/>
              <w:bottom w:type="dxa" w:w="80"/>
              <w:right w:type="dxa" w:w="120"/>
            </w:tcMar>
          </w:tcPr>
          <w:p>
            <w:r>
              <w:rPr>
                <w:rFonts w:ascii="Times New Roman" w:cs="Times New Roman" w:eastAsia="Times New Roman" w:hAnsi="Times New Roman"/>
                <w:b/>
                <w:bCs/>
                <w:color w:val="FFFFFF"/>
                <w:sz w:val="220"/>
                <w:szCs w:val="220"/>
              </w:rPr>
              <w:t xml:space="preserve">Date</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"A"</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Interview invitations for 'Specialist: Care Manager' role</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January 2024</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"B"</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Assessment instructions — Specialist: Care Manager</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29 January 2024</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"C"</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Fingerprint criminal check booking confirmation</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21 February 2024</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"D"</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Employment contract — 'Care Coordinator' (Grade B4M1)</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9 April 2024</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"E"</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First Aider roster drafted by Applicant</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25 July 2025</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"F"</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Sick note — Dr Jacques Malan (Akeso Stepping Stones Clinic)</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1 April 2025</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"G"</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Mental health disclosure to Mapule Mashele</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16 May 2025</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"H"</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Jones: "we do not apply staggering of money owed"</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16 April 2025</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"I"</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Payslip — July 2025 (R14,811.77 deduction / 40.47%)</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July 2025</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"J"</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AOD Policy + "what is illegal?" exchange</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24 July 2025</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"K"</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"Wilma" Microsoft Teams message (screenshot)</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23 September 2025</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"L"</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Formal discrimination complaint to HR</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25 September 2025</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"M"</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Mashele investigation closure report ("typo" finding)</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1 October 2025</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"N"</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Gexus/DMS root cause analysis and protected disclosure</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23 October 2025</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"O"</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Transcript of 31 October 2025 meeting (retaliatory admission)</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31 October 2025</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"P"</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Formal grievance against Jones</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2 November 2025</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"Q"</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Executive escalation bundle to leadership</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4 December 2025</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"R"</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Employer's opposing affidavit (CCMA) — Manyathi</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10 December 2025</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"S"</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Resignation letter</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11 December 2025</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"T"</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CPUT Postgraduate Diploma acceptance letter</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2026</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"U"</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uFiling screenshot — 'No Information' June 2025</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2026</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"V"</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Certificate of Service (disputed) + Naming Convention request</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January 2026</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"W"</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CMS referral — 'Administrative Misconduct and Ethical Failure'</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2026</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"X"</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SAHRC acknowledgment</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2026</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"Y"</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CCMA Certificates of Non-Resolution (WECT23564-25; WECT24486-25)</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9 January 2026</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"Z"</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EthicHawks Master Chronological Register (148 entries)</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3 April 2026</w:t>
            </w:r>
          </w:p>
        </w:tc>
      </w:tr>
      <w:tr>
        <w:tc>
          <w:tcPr>
            <w:tcW w:type="dxa" w:w="800"/>
            <w:shd w:fill="F5F5F5"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"P1 RISK"</w:t>
            </w:r>
          </w:p>
        </w:tc>
        <w:tc>
          <w:tcPr>
            <w:tcW w:type="dxa" w:w="5426"/>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NQF Mandate / SAQA Statutory Obligation to Report (ELO mapping)</w:t>
            </w:r>
          </w:p>
        </w:tc>
        <w:tc>
          <w:tcPr>
            <w:tcW w:type="dxa" w:w="2800"/>
            <w:shd w:fill="F5F5F5" w:val="clear"/>
            <w:tcMar>
              <w:top w:type="dxa" w:w="80"/>
              <w:left w:type="dxa" w:w="120"/>
              <w:bottom w:type="dxa" w:w="80"/>
              <w:right w:type="dxa" w:w="120"/>
            </w:tcMar>
          </w:tcPr>
          <w:p>
            <w:r>
              <w:rPr>
                <w:rFonts w:ascii="Times New Roman" w:cs="Times New Roman" w:eastAsia="Times New Roman" w:hAnsi="Times New Roman"/>
                <w:sz w:val="220"/>
                <w:szCs w:val="220"/>
              </w:rPr>
              <w:t xml:space="preserve">8 April 2026</w:t>
            </w:r>
          </w:p>
        </w:tc>
      </w:tr>
      <w:tr>
        <w:tc>
          <w:tcPr>
            <w:tcW w:type="dxa" w:w="800"/>
            <w:shd w:fill="FFFFFF" w:val="clear"/>
            <w:tcMar>
              <w:top w:type="dxa" w:w="80"/>
              <w:left w:type="dxa" w:w="120"/>
              <w:bottom w:type="dxa" w:w="80"/>
              <w:right w:type="dxa" w:w="120"/>
            </w:tcMar>
          </w:tcPr>
          <w:p>
            <w:r>
              <w:rPr>
                <w:rFonts w:ascii="Times New Roman" w:cs="Times New Roman" w:eastAsia="Times New Roman" w:hAnsi="Times New Roman"/>
                <w:b/>
                <w:bCs/>
                <w:color w:val="1A3557"/>
                <w:sz w:val="220"/>
                <w:szCs w:val="220"/>
              </w:rPr>
              <w:t xml:space="preserve">"PDA BILL"</w:t>
            </w:r>
          </w:p>
        </w:tc>
        <w:tc>
          <w:tcPr>
            <w:tcW w:type="dxa" w:w="5426"/>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Protected Disclosures Amendment Bill 2026 (Government Gazette)</w:t>
            </w:r>
          </w:p>
        </w:tc>
        <w:tc>
          <w:tcPr>
            <w:tcW w:type="dxa" w:w="2800"/>
            <w:shd w:fill="FFFFFF" w:val="clear"/>
            <w:tcMar>
              <w:top w:type="dxa" w:w="80"/>
              <w:left w:type="dxa" w:w="120"/>
              <w:bottom w:type="dxa" w:w="80"/>
              <w:right w:type="dxa" w:w="120"/>
            </w:tcMar>
          </w:tcPr>
          <w:p>
            <w:r>
              <w:rPr>
                <w:rFonts w:ascii="Times New Roman" w:cs="Times New Roman" w:eastAsia="Times New Roman" w:hAnsi="Times New Roman"/>
                <w:sz w:val="220"/>
                <w:szCs w:val="220"/>
              </w:rPr>
              <w:t xml:space="preserve">8 April 2026</w:t>
            </w:r>
          </w:p>
        </w:tc>
      </w:tr>
    </w:tbl>
    <w:p>
      <w:pPr>
        <w:spacing w:after="200" w:before="0"/>
      </w:pPr>
    </w:p>
    <w:p>
      <w:pPr>
        <w:spacing w:after="80" w:before="40"/>
        <w:jc w:val="center"/>
      </w:pPr>
      <w:r>
        <w:rPr>
          <w:rFonts w:ascii="Times New Roman" w:cs="Times New Roman" w:eastAsia="Times New Roman" w:hAnsi="Times New Roman"/>
          <w:b/>
          <w:bCs/>
          <w:i w:val="false"/>
          <w:iCs w:val="false"/>
          <w:color w:val="000000"/>
          <w:sz w:val="240"/>
          <w:szCs w:val="240"/>
        </w:rPr>
        <w:t xml:space="preserve">END OF STATEMENT OF CLAIM</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557" w:sz="4" w:space="4"/>
      </w:pBdr>
      <w:spacing w:after="0" w:before="60"/>
      <w:jc w:val="center"/>
    </w:pPr>
    <w:r>
      <w:rPr>
        <w:rFonts w:ascii="Times New Roman" w:cs="Times New Roman" w:eastAsia="Times New Roman" w:hAnsi="Times New Roman"/>
        <w:color w:val="555555"/>
        <w:sz w:val="180"/>
        <w:szCs w:val="180"/>
      </w:rPr>
      <w:t xml:space="preserve">STATEMENT OF CLAIM — 9 APRIL 2026    |    EthicHawks Forensic Governance Consultancy    |    Page </w:t>
    </w:r>
    <w:r>
      <w:rPr>
        <w:rFonts w:ascii="Times New Roman" w:cs="Times New Roman" w:eastAsia="Times New Roman" w:hAnsi="Times New Roman"/>
        <w:color w:val="555555"/>
        <w:sz w:val="180"/>
        <w:szCs w:val="180"/>
      </w:rPr>
      <w:fldChar w:fldCharType="begin"/>
      <w:instrText xml:space="preserve">PAGE</w:instrText>
      <w:fldChar w:fldCharType="separate"/>
      <w:fldChar w:fldCharType="end"/>
    </w:r>
    <w:r>
      <w:rPr>
        <w:rFonts w:ascii="Times New Roman" w:cs="Times New Roman" w:eastAsia="Times New Roman" w:hAnsi="Times New Roman"/>
        <w:color w:val="555555"/>
        <w:sz w:val="180"/>
        <w:szCs w:val="180"/>
      </w:rPr>
      <w:t xml:space="preserve"> of </w:t>
    </w:r>
    <w:r>
      <w:rPr>
        <w:rFonts w:ascii="Times New Roman" w:cs="Times New Roman" w:eastAsia="Times New Roman" w:hAnsi="Times New Roman"/>
        <w:color w:val="555555"/>
        <w:sz w:val="180"/>
        <w:szCs w:val="18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4"/>
      </w:pBdr>
      <w:spacing w:after="80" w:before="0"/>
    </w:pPr>
    <w:r>
      <w:rPr>
        <w:rFonts w:ascii="Times New Roman" w:cs="Times New Roman" w:eastAsia="Times New Roman" w:hAnsi="Times New Roman"/>
        <w:color w:val="1A3557"/>
        <w:sz w:val="180"/>
        <w:szCs w:val="180"/>
      </w:rPr>
      <w:t xml:space="preserve">IN THE LABOUR COURT OF SOUTH AFRICA, CAPE TOWN  •  MATTHEE v AFROCENTRIC HEALTH (RF) (PTY) LTD &amp; ANOTHER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0"/>
        <w:szCs w:val="24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2026-04-09T00:13:45.115Z</dcterms:created>
  <dcterms:modified xsi:type="dcterms:W3CDTF">2026-04-09T00:13:45.115Z</dcterms:modified>
</cp:coreProperties>
</file>

<file path=docProps/custom.xml><?xml version="1.0" encoding="utf-8"?>
<Properties xmlns="http://schemas.openxmlformats.org/officeDocument/2006/custom-properties" xmlns:vt="http://schemas.openxmlformats.org/officeDocument/2006/docPropsVTypes"/>
</file>