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ETHICHAWKS FORENSIC GOVERNANCE &amp; COMPLIANCE CONSULTANCY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8D4E8"/>
                <w:sz w:val="22"/>
                <w:szCs w:val="22"/>
              </w:rPr>
              <w:t xml:space="preserve">Technical Data Governance Clause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8FBCD4"/>
                <w:sz w:val="20"/>
                <w:szCs w:val="20"/>
              </w:rPr>
              <w:t xml:space="preserve">POPIA Compliance and Data Anonymization Framework | 26 June 2026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CCCCCC" w:sz="2" w:space="1"/>
        </w:pBdr>
        <w:spacing w:after="200" w:before="8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Document Reference: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EH-TC-POPIA-001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     Classification: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Technical — Client Disclosure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     Version: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1.0</w:t>
      </w:r>
    </w:p>
    <w:p>
      <w:pPr>
        <w:spacing w:after="0" w:before="160"/>
      </w:pPr>
      <w:r>
        <w:t xml:space="preserve"/>
      </w:r>
    </w:p>
    <w:p>
      <w:pPr>
        <w:pBdr>
          <w:bottom w:val="single" w:color="0D737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 Data Minimization and Anonymization Protocol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EthicHawks API is engineered to function under a "Privacy-First" architecture. Data ingested by the system is strictly limited to the operational and systemic parameters required for forensic analysis. No direct personal identifiers — including but not limited to patient names, identity numbers, or contact details — are stored in the system's persistent storage.</w:t>
      </w:r>
    </w:p>
    <w:p>
      <w:pPr>
        <w:spacing w:after="0" w:before="120"/>
      </w:pPr>
      <w:r>
        <w:t xml:space="preserve"/>
      </w:r>
    </w:p>
    <w:p>
      <w:pPr>
        <w:pBdr>
          <w:bottom w:val="single" w:color="0D737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 Tokenization and Irreversibility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Upon ingestion at the API gateway, all sensitive data points are processed through an irreversible tokenization protocol. Each unique identifier — for example, a specific Patient File ID or Staff Employee ID — is mapped to a randomized, non-reversible token string.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Destruction of Linkability: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The mapping key used for tokenization is maintained exclusively by the data provider (the client) and is never transmitted to, stored by, or accessible to the EthicHawks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Irreversibility: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Once data is tokenized, it is mathematically impossible for EthicHawks to reverse-engineer or re-identify the original data subject. Consequently, the data processed by the EthicHawks engine ceases to qualify as "Personal Information" as defined under Section 1 of POPIA.</w:t>
      </w:r>
    </w:p>
    <w:p>
      <w:pPr>
        <w:spacing w:after="0" w:before="120"/>
      </w:pPr>
      <w:r>
        <w:t xml:space="preserve"/>
      </w:r>
    </w:p>
    <w:p>
      <w:pPr>
        <w:pBdr>
          <w:bottom w:val="single" w:color="0D737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 Cryptographic Integrity — The Immutable Audit Trail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 ensure the integrity of the forensic evidence, all processed telemetry data is verified using SHA-256 cryptographic hashing. This process creates a unique digital signature for the dataset, ensuring that the evidence bundle generated is tamper-evident and historically accurate, without requiring the retention of any personally identifiable information.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cryptographic verification ensures that compliance reports produced by the EthicHawks engine are audit-ready without compromising the data privacy of any individuals referenced in the original source logs.</w:t>
      </w:r>
    </w:p>
    <w:p>
      <w:pPr>
        <w:spacing w:after="0" w:before="120"/>
      </w:pPr>
      <w:r>
        <w:t xml:space="preserve"/>
      </w:r>
    </w:p>
    <w:p>
      <w:pPr>
        <w:pBdr>
          <w:bottom w:val="single" w:color="0D737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 Data Governance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EthicHawks operates as a "Data Processor" as defined by POPIA, acting only on the instructions of the "Data Controller" — the Hospital or Client institution. We do not aggregate data across different client environments. Every facility's telemetry data is siloed in a discrete, encrypted environment, ensuring no cross-contamination of sensitive information.</w:t>
      </w:r>
    </w:p>
    <w:p>
      <w:pPr>
        <w:spacing w:after="0" w:before="2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Operational Clarification: Incident Mapping Protocol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following narrative addresses a question commonly raised by legal and compliance teams regarding the operationalization of the tokenization framework.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4"/>
              <w:left w:val="thick" w:color="0D7377" w:sz="12"/>
              <w:bottom w:val="single" w:color="0D7377" w:sz="4"/>
              <w:right w:val="single" w:color="0D7377" w:sz="4"/>
            </w:tcBorders>
            <w:shd w:fill="E6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color w:val="1A3C5E"/>
                <w:sz w:val="22"/>
                <w:szCs w:val="22"/>
              </w:rPr>
              <w:t xml:space="preserve">"How do we map the token back to the person if we need to investigate a specific incident?"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color w:val="1A3C5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color w:val="1A3C5E"/>
                <w:sz w:val="22"/>
                <w:szCs w:val="22"/>
              </w:rPr>
              <w:t xml:space="preserve">"The mapping key stays in your internal, secure database. When the EthicHawks system flags a ‘Red Flag’ on Token ID X92-J7, your authorized internal privacy officer simply references your internal mapping table to identify the underlying record. I have no access to that table, which is exactly how we ensure 100% POPIA compliance."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2" w:space="1"/>
        </w:pBdr>
        <w:spacing w:before="1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EthicHawks Forensic Governance &amp; Compliance Consultancy  |  Cape Town, South Africa  |  Confidential — Client Technical Disclosure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2026-06-26T15:48:30.276Z</dcterms:created>
  <dcterms:modified xsi:type="dcterms:W3CDTF">2026-06-26T15:48:30.276Z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