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3849a8bf43f4d51" /></Relationships>
</file>

<file path=word/document.xml><?xml version="1.0" encoding="utf-8"?>
<w:document xmlns:w="http://schemas.openxmlformats.org/wordprocessingml/2006/main">
  <w:body>
    <w:p>
      <w:pPr>
        <w:jc w:val="right"/>
      </w:pPr>
      <w:r>
        <w:rPr>
          <w:b/>
        </w:rPr>
        <w:t>EthicHawks Forensic Governance Consultancy</w:t>
      </w:r>
      <w:r>
        <w:br/>
      </w:r>
      <w:r>
        <w:t>Cape Town, South Africa</w:t>
      </w:r>
      <w:r>
        <w:br/>
      </w:r>
      <w:r>
        <w:t>info@ethichawks.co.za</w:t>
      </w:r>
    </w:p>
    <w:p>
      <w:pPr>
        <w:spacing w:before="400"/>
      </w:pPr>
    </w:p>
    <w:p>
      <w:r>
        <w:t>12 April 2026</w:t>
      </w:r>
    </w:p>
    <w:p>
      <w:pPr>
        <w:spacing w:before="200"/>
      </w:pPr>
    </w:p>
    <w:p>
      <w:r>
        <w:rPr>
          <w:b/>
        </w:rPr>
        <w:t>TO: </w:t>
      </w:r>
      <w:r>
        <w:t>The Chairperson</w:t>
      </w:r>
    </w:p>
    <w:p>
      <w:r>
        <w:t>Parliamentary Portfolio Committee on Health</w:t>
      </w:r>
    </w:p>
    <w:p>
      <w:r>
        <w:t>Parliament of the Republic of South Africa</w:t>
      </w:r>
    </w:p>
    <w:p>
      <w:r>
        <w:t>Parliament Street, Cape Town, 8000</w:t>
      </w:r>
    </w:p>
    <w:p>
      <w:pPr>
        <w:spacing w:before="200"/>
      </w:pPr>
    </w:p>
    <w:p>
      <w:r>
        <w:rPr>
          <w:b/>
        </w:rPr>
        <w:t>SUBJECT: </w:t>
      </w:r>
      <w:r>
        <w:rPr>
          <w:b/>
          <w:u w:val="single"/>
        </w:rPr>
        <w:t>SUBMISSION - GOVERNANCE FAILURES AT GEMS ADMINISTRATOR AND MATERIAL MISREPRESENTATION IN STATUTORY REPORTING</w:t>
      </w:r>
    </w:p>
    <w:p>
      <w:pPr>
        <w:spacing w:before="200"/>
      </w:pPr>
    </w:p>
    <w:p>
      <w:r>
        <w:t>Dear Chairperson,</w:t>
      </w:r>
    </w:p>
    <w:p>
      <w:pPr>
        <w:spacing w:before="200"/>
      </w:pPr>
    </w:p>
    <w:p>
      <w:r>
        <w:t>I submit this formal submission to the Parliamentary Portfolio Committee on Health regarding </w:t>
      </w:r>
      <w:r>
        <w:rPr>
          <w:b/>
        </w:rPr>
        <w:t>serious governance failures</w:t>
      </w:r>
      <w:r>
        <w:t> at the Government Employees Medical Scheme (GEMS) administrator (AfroCentric/Medscheme) and the material misrepresentation of these failures in statutory reporting.</w:t>
      </w:r>
    </w:p>
    <w:p>
      <w:pPr>
        <w:pStyle w:val="Heading1"/>
      </w:pPr>
      <w:r>
        <w:t>1. PUBLIC INTEREST BASIS</w:t>
      </w:r>
    </w:p>
    <w:p>
      <w:r>
        <w:t>This submission concerns matters of significant public interest:</w:t>
      </w:r>
    </w:p>
    <w:p>
      <w:pPr>
        <w:ind w:left="720" w:hanging="360"/>
      </w:pPr>
      <w:r>
        <w:t xml:space="preserve">•  </w:t>
      </w:r>
      <w:r>
        <w:t>Public Funds: GEMS is a public-sector medical scheme serving government employees, funded by taxpayer contributions;</w:t>
      </w:r>
    </w:p>
    <w:p>
      <w:pPr>
        <w:ind w:left="720" w:hanging="360"/>
      </w:pPr>
      <w:r>
        <w:t xml:space="preserve">•  </w:t>
      </w:r>
      <w:r>
        <w:t>Member Safety: Over 800,000 GEMS beneficiaries may be affected by concealed clinical system failures;</w:t>
      </w:r>
    </w:p>
    <w:p>
      <w:pPr>
        <w:ind w:left="720" w:hanging="360"/>
      </w:pPr>
      <w:r>
        <w:t xml:space="preserve">•  </w:t>
      </w:r>
      <w:r>
        <w:t>Parliamentary Oversight: The Committee has constitutional responsibility to oversee public healthcare administration;</w:t>
      </w:r>
    </w:p>
    <w:p>
      <w:pPr>
        <w:ind w:left="720" w:hanging="360"/>
      </w:pPr>
      <w:r>
        <w:t xml:space="preserve">•  </w:t>
      </w:r>
      <w:r>
        <w:t>Whistleblower Protection: This submission is made under the Protected Disclosures Act 26 of 2000.</w:t>
      </w:r>
    </w:p>
    <w:p>
      <w:pPr>
        <w:pStyle w:val="Heading1"/>
      </w:pPr>
      <w:r>
        <w:t>2. BACKGROUND</w:t>
      </w:r>
    </w:p>
    <w:p>
      <w:r>
        <w:t>I served as a Case Manager in the GEMS Active Disease Risk Management Unit (Medscheme) from May 2024 to December 2025. In October 2025, I identified a </w:t>
      </w:r>
      <w:r>
        <w:rPr>
          <w:b/>
        </w:rPr>
        <w:t>Priority 1 systemic failure</w:t>
      </w:r>
      <w:r>
        <w:t> in the integration between the Gexus claims system and the Disease Management System (DMS) that generated clinically incorrect non-adherence communications to GEMS beneficiaries.</w:t>
      </w:r>
    </w:p>
    <w:p>
      <w:r>
        <w:t>Following my protected disclosure of this risk, I experienced severe retaliation including unlawful salary deductions, discrimination, and constructive dismissal. I am now destitute and homeless as a direct result of raising legitimate patient safety concerns.</w:t>
      </w:r>
    </w:p>
    <w:p>
      <w:pPr>
        <w:pStyle w:val="Heading1"/>
      </w:pPr>
      <w:r>
        <w:t>3. GOVERNANCE FAILURES IDENTIFIED</w:t>
      </w:r>
    </w:p>
    <w:p>
      <w:pPr>
        <w:pStyle w:val="Heading2"/>
      </w:pPr>
      <w:r>
        <w:t>3.1 Clinical Risk Concealment</w:t>
      </w:r>
    </w:p>
    <w:p>
      <w:r>
        <w:t>The Priority 1 Gexus-DMS integration failure remained unresolved at year-end and was </w:t>
      </w:r>
      <w:r>
        <w:rPr>
          <w:b/>
        </w:rPr>
        <w:t>actively suppressed</w:t>
      </w:r>
      <w:r>
        <w:t> by the Chief Risk Officer. This represents a failure of clinical governance obligations under the Medical Schemes Act.</w:t>
      </w:r>
    </w:p>
    <w:p>
      <w:pPr>
        <w:pStyle w:val="Heading2"/>
      </w:pPr>
      <w:r>
        <w:t>3.2 Material Misrepresentation in Statutory Reporting</w:t>
      </w:r>
    </w:p>
    <w:p>
      <w:r>
        <w:t>The AfroCentric Integrated Annual Report (approved 31 March 2026) contains material omissions including:</w:t>
      </w:r>
    </w:p>
    <w:p>
      <w:pPr>
        <w:ind w:left="720" w:hanging="360"/>
      </w:pPr>
      <w:r>
        <w:t xml:space="preserve">•  </w:t>
      </w:r>
      <w:r>
        <w:t>Section 162 Director Delinquency proceedings filed 25 March 2026;</w:t>
      </w:r>
    </w:p>
    <w:p>
      <w:pPr>
        <w:ind w:left="720" w:hanging="360"/>
      </w:pPr>
      <w:r>
        <w:t xml:space="preserve">•  </w:t>
      </w:r>
      <w:r>
        <w:t>Priority 1 clinical risk affecting member safety;</w:t>
      </w:r>
    </w:p>
    <w:p>
      <w:pPr>
        <w:ind w:left="720" w:hanging="360"/>
      </w:pPr>
      <w:r>
        <w:t xml:space="preserve">•  </w:t>
      </w:r>
      <w:r>
        <w:t>B-BBEE Commission investigation into fronting;</w:t>
      </w:r>
    </w:p>
    <w:p>
      <w:pPr>
        <w:ind w:left="720" w:hanging="360"/>
      </w:pPr>
      <w:r>
        <w:t xml:space="preserve">•  </w:t>
      </w:r>
      <w:r>
        <w:t>Whistleblower retaliation and its consequences.</w:t>
      </w:r>
    </w:p>
    <w:p>
      <w:pPr>
        <w:pStyle w:val="Heading2"/>
      </w:pPr>
      <w:r>
        <w:t>3.3 Retaliation Against Whistleblower</w:t>
      </w:r>
    </w:p>
    <w:p>
      <w:r>
        <w:t>The documented retaliation includes:</w:t>
      </w:r>
    </w:p>
    <w:p>
      <w:pPr>
        <w:ind w:left="720" w:hanging="360"/>
      </w:pPr>
      <w:r>
        <w:t xml:space="preserve">•  </w:t>
      </w:r>
      <w:r>
        <w:t>Unlawful 40.47% salary deduction while on psychiatric leave;</w:t>
      </w:r>
    </w:p>
    <w:p>
      <w:pPr>
        <w:ind w:left="720" w:hanging="360"/>
      </w:pPr>
      <w:r>
        <w:t xml:space="preserve">•  </w:t>
      </w:r>
      <w:r>
        <w:t>Gender identity discrimination (the 'Wilma' incident);</w:t>
      </w:r>
    </w:p>
    <w:p>
      <w:pPr>
        <w:ind w:left="720" w:hanging="360"/>
      </w:pPr>
      <w:r>
        <w:t xml:space="preserve">•  </w:t>
      </w:r>
      <w:r>
        <w:t>Labelling as 'insubordinate' for patient safety disclosure;</w:t>
      </w:r>
    </w:p>
    <w:p>
      <w:pPr>
        <w:ind w:left="720" w:hanging="360"/>
      </w:pPr>
      <w:r>
        <w:t xml:space="preserve">•  </w:t>
      </w:r>
      <w:r>
        <w:t>Forced resignation due to intolerable working conditions.</w:t>
      </w:r>
    </w:p>
    <w:p>
      <w:pPr>
        <w:pStyle w:val="Heading1"/>
      </w:pPr>
      <w:r>
        <w:t>4. IMPLICATIONS FOR PUBLIC HEALTHCARE</w:t>
      </w:r>
    </w:p>
    <w:p>
      <w:r>
        <w:t>The governance failures have serious implications for public healthcare administration:</w:t>
      </w:r>
    </w:p>
    <w:p>
      <w:pPr>
        <w:ind w:left="720" w:hanging="360"/>
      </w:pPr>
      <w:r>
        <w:t xml:space="preserve">•  </w:t>
      </w:r>
      <w:r>
        <w:t>Member Trust: Government employees' trust in their medical scheme is undermined;</w:t>
      </w:r>
    </w:p>
    <w:p>
      <w:pPr>
        <w:ind w:left="720" w:hanging="360"/>
      </w:pPr>
      <w:r>
        <w:t xml:space="preserve">•  </w:t>
      </w:r>
      <w:r>
        <w:t>Clinical Safety: Unresolved system failures may continue to affect beneficiary care;</w:t>
      </w:r>
    </w:p>
    <w:p>
      <w:pPr>
        <w:ind w:left="720" w:hanging="360"/>
      </w:pPr>
      <w:r>
        <w:t xml:space="preserve">•  </w:t>
      </w:r>
      <w:r>
        <w:t>Public Funds: Taxpayer money supports an administrator concealing material risks;</w:t>
      </w:r>
    </w:p>
    <w:p>
      <w:pPr>
        <w:ind w:left="720" w:hanging="360"/>
      </w:pPr>
      <w:r>
        <w:t xml:space="preserve">•  </w:t>
      </w:r>
      <w:r>
        <w:t>Whistleblower Deterrence: Retaliation discourages future reporting of patient safety concerns.</w:t>
      </w:r>
    </w:p>
    <w:p>
      <w:pPr>
        <w:pStyle w:val="Heading1"/>
      </w:pPr>
      <w:r>
        <w:t>5. REQUESTED PARLIAMENTARY ACTION</w:t>
      </w:r>
    </w:p>
    <w:p>
      <w:r>
        <w:t>I respectfully request that the Portfolio Committee on Health:</w:t>
      </w:r>
    </w:p>
    <w:p>
      <w:pPr>
        <w:ind w:left="720" w:hanging="360"/>
      </w:pPr>
      <w:r>
        <w:t xml:space="preserve">1. </w:t>
      </w:r>
      <w:r>
        <w:t>Summon the GEMS Principal Officer to provide evidence on whether the Board was informed of the Priority 1 clinical risk;</w:t>
      </w:r>
    </w:p>
    <w:p>
      <w:pPr>
        <w:ind w:left="720" w:hanging="360"/>
      </w:pPr>
      <w:r>
        <w:t xml:space="preserve">2. </w:t>
      </w:r>
      <w:r>
        <w:t>Summon AfroCentric/Medscheme executives to explain the material omissions in the Integrated Annual Report;</w:t>
      </w:r>
    </w:p>
    <w:p>
      <w:pPr>
        <w:ind w:left="720" w:hanging="360"/>
      </w:pPr>
      <w:r>
        <w:t xml:space="preserve">3. </w:t>
      </w:r>
      <w:r>
        <w:t>Request the Council for Medical Schemes to provide a status report on its investigation;</w:t>
      </w:r>
    </w:p>
    <w:p>
      <w:pPr>
        <w:ind w:left="720" w:hanging="360"/>
      </w:pPr>
      <w:r>
        <w:t xml:space="preserve">4. </w:t>
      </w:r>
      <w:r>
        <w:t>Consider public hearings on governance standards for medical scheme administrators serving public-sector schemes;</w:t>
      </w:r>
    </w:p>
    <w:p>
      <w:pPr>
        <w:ind w:left="720" w:hanging="360"/>
      </w:pPr>
      <w:r>
        <w:t xml:space="preserve">5. </w:t>
      </w:r>
      <w:r>
        <w:t>Refer the matter to the Standing Committee on Public Accounts (SCOPA) if public funds have been misapplied.</w:t>
      </w:r>
    </w:p>
    <w:p>
      <w:pPr>
        <w:pStyle w:val="Heading1"/>
      </w:pPr>
      <w:r>
        <w:t>6. SUPPORTING DOCUMENTATION</w:t>
      </w:r>
    </w:p>
    <w:p>
      <w:pPr>
        <w:ind w:left="720" w:hanging="360"/>
      </w:pPr>
      <w:r>
        <w:t xml:space="preserve">•  </w:t>
      </w:r>
      <w:r>
        <w:t>Protected Disclosure dated 2 April 2026;</w:t>
      </w:r>
    </w:p>
    <w:p>
      <w:pPr>
        <w:ind w:left="720" w:hanging="360"/>
      </w:pPr>
      <w:r>
        <w:t xml:space="preserve">•  </w:t>
      </w:r>
      <w:r>
        <w:t>Supporting Testimony dated 2 April 2026;</w:t>
      </w:r>
    </w:p>
    <w:p>
      <w:pPr>
        <w:ind w:left="720" w:hanging="360"/>
      </w:pPr>
      <w:r>
        <w:t xml:space="preserve">•  </w:t>
      </w:r>
      <w:r>
        <w:t>Labour Court Statement of Claim;</w:t>
      </w:r>
    </w:p>
    <w:p>
      <w:pPr>
        <w:ind w:left="720" w:hanging="360"/>
      </w:pPr>
      <w:r>
        <w:t xml:space="preserve">•  </w:t>
      </w:r>
      <w:r>
        <w:t>Western Cape High Court Section 162 Application;</w:t>
      </w:r>
    </w:p>
    <w:p>
      <w:pPr>
        <w:ind w:left="720" w:hanging="360"/>
      </w:pPr>
      <w:r>
        <w:t xml:space="preserve">•  </w:t>
      </w:r>
      <w:r>
        <w:t>CMS, B-BBEE Commission, and SAPS case references.</w:t>
      </w:r>
    </w:p>
    <w:p>
      <w:pPr>
        <w:spacing w:before="400"/>
      </w:pPr>
    </w:p>
    <w:p>
      <w:r>
        <w:t>This submission is made in good faith under the Protected Disclosures Act 26 of 2000. I am available to appear before the Committee to provide oral evidence.</w:t>
      </w:r>
    </w:p>
    <w:p>
      <w:pPr>
        <w:spacing w:before="400"/>
      </w:pPr>
    </w:p>
    <w:p>
      <w:r>
        <w:t>Yours faithfully,</w:t>
      </w:r>
    </w:p>
    <w:p>
      <w:pPr>
        <w:spacing w:before="200"/>
      </w:pPr>
    </w:p>
    <w:p>
      <w:r>
        <w:rPr>
          <w:b/>
        </w:rPr>
        <w:t>Wilbur William Matthee</w:t>
      </w:r>
    </w:p>
    <w:p>
      <w:r>
        <w:t>Registered Nurse Specialist | Forensic Governance Practitioner</w:t>
      </w:r>
    </w:p>
    <w:p>
      <w:r>
        <w:t>12 April 2026</w:t>
      </w:r>
    </w:p>
    <w:sectPr>
      <w:headerReference xmlns:r="http://schemas.openxmlformats.org/officeDocument/2006/relationships" w:type="default" r:id="R8bd3e532a6144342"/>
      <w:footerReference xmlns:r="http://schemas.openxmlformats.org/officeDocument/2006/relationships" w:type="default" r:id="R94f2f6cb7cf94bab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4a5568"/>
        <w:sz w:val="20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color w:val="4a5568"/>
        <w:sz w:val="20"/>
      </w:rPr>
      <w:t xml:space="preserve"> of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color="1a365d" w:sz="6"/>
      </w:pBdr>
      <w:jc w:val="center"/>
    </w:pPr>
    <w:r>
      <w:rPr>
        <w:b/>
        <w:color w:val="1a365d"/>
        <w:sz w:val="20"/>
      </w:rPr>
      <w:t>PARLIAMENTARY PORTFOLIO COMMITTEE ON HEALTH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276" w:lineRule="auto"/>
    </w:pPr>
    <w:rPr>
      <w:rFonts w:ascii="Times New Roman" w:hAnsi="Times New Roman"/>
      <w:color w:val="1a202c"/>
      <w:sz w:val="24"/>
    </w:rPr>
  </w:style>
  <w:style w:type="paragraph" w:styleId="Heading1">
    <w:name w:val="heading 1"/>
    <w:basedOn w:val="Normal"/>
    <w:pPr>
      <w:keepNext/>
      <w:spacing w:before="400" w:after="200"/>
      <w:outlineLvl w:val="0"/>
    </w:pPr>
    <w:rPr>
      <w:b/>
      <w:color w:val="1a365d"/>
      <w:sz w:val="28"/>
    </w:rPr>
  </w:style>
  <w:style w:type="paragraph" w:styleId="Heading2">
    <w:name w:val="heading 2"/>
    <w:basedOn w:val="Normal"/>
    <w:pPr>
      <w:keepNext/>
      <w:spacing w:before="300" w:after="120"/>
      <w:outlineLvl w:val="1"/>
    </w:pPr>
    <w:rPr>
      <w:b/>
      <w:color w:val="1a365d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82462c8a7d74caa" /><Relationship Type="http://schemas.openxmlformats.org/officeDocument/2006/relationships/header" Target="/word/header1.xml" Id="R8bd3e532a6144342" /><Relationship Type="http://schemas.openxmlformats.org/officeDocument/2006/relationships/footer" Target="/word/footer1.xml" Id="R94f2f6cb7cf94bab" /></Relationships>
</file>