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39fb1f4e208b4bb1" /></Relationships>
</file>

<file path=word/document.xml><?xml version="1.0" encoding="utf-8"?>
<w:document xmlns:w="http://schemas.openxmlformats.org/wordprocessingml/2006/main">
  <w:body>
    <w:p>
      <w:pPr>
        <w:jc w:val="right"/>
      </w:pPr>
      <w:r>
        <w:rPr>
          <w:b/>
        </w:rPr>
        <w:t>EthicHawks Forensic Governance Consultancy</w:t>
      </w:r>
      <w:r>
        <w:br/>
      </w:r>
      <w:r>
        <w:t>Cape Town, South Africa</w:t>
      </w:r>
      <w:r>
        <w:br/>
      </w:r>
      <w:r>
        <w:t>info@ethichawks.co.za</w:t>
      </w:r>
    </w:p>
    <w:p>
      <w:pPr>
        <w:spacing w:before="400"/>
      </w:pPr>
    </w:p>
    <w:p>
      <w:r>
        <w:t>12 April 2026</w:t>
      </w:r>
    </w:p>
    <w:p>
      <w:pPr>
        <w:spacing w:before="200"/>
      </w:pPr>
    </w:p>
    <w:p>
      <w:r>
        <w:rPr>
          <w:b/>
        </w:rPr>
        <w:t>TO: </w:t>
      </w:r>
      <w:r>
        <w:t>The Chief Executive Officer</w:t>
      </w:r>
    </w:p>
    <w:p>
      <w:r>
        <w:t>Prudential Authority</w:t>
      </w:r>
    </w:p>
    <w:p>
      <w:r>
        <w:t>South African Reserve Bank</w:t>
      </w:r>
    </w:p>
    <w:p>
      <w:r>
        <w:t>370 Church Street, Pretoria, 0002</w:t>
      </w:r>
    </w:p>
    <w:p>
      <w:pPr>
        <w:spacing w:before="200"/>
      </w:pPr>
    </w:p>
    <w:p>
      <w:r>
        <w:rPr>
          <w:b/>
        </w:rPr>
        <w:t>SUBJECT: </w:t>
      </w:r>
      <w:r>
        <w:rPr>
          <w:b/>
          <w:u w:val="single"/>
        </w:rPr>
        <w:t>FORMAL COMPLAINT - BREACH OF FIT AND PROPER REQUIREMENTS - AFROCENTRIC HEALTH GROUP</w:t>
      </w:r>
    </w:p>
    <w:p>
      <w:pPr>
        <w:spacing w:before="200"/>
      </w:pPr>
    </w:p>
    <w:p>
      <w:r>
        <w:t>Dear Chief Executive Officer,</w:t>
      </w:r>
    </w:p>
    <w:p>
      <w:pPr>
        <w:spacing w:before="200"/>
      </w:pPr>
    </w:p>
    <w:p>
      <w:r>
        <w:t>I submit this formal complaint regarding </w:t>
      </w:r>
      <w:r>
        <w:rPr>
          <w:b/>
        </w:rPr>
        <w:t>breaches of fit and proper requirements</w:t>
      </w:r>
      <w:r>
        <w:t> by AfroCentric Health Group and its directors, arising from material misrepresentations in the Integrated Annual Report for the year ended 31 December 2025.</w:t>
      </w:r>
    </w:p>
    <w:p>
      <w:pPr>
        <w:pStyle w:val="Heading1"/>
      </w:pPr>
      <w:r>
        <w:t>1. REGULATORY FRAMEWORK</w:t>
      </w:r>
    </w:p>
    <w:p>
      <w:r>
        <w:t>The Prudential Authority has jurisdiction over financial institutions and their controllers under the </w:t>
      </w:r>
      <w:r>
        <w:rPr>
          <w:b/>
          <w:i/>
        </w:rPr>
        <w:t>Financial Sector Regulation Act 9 of 2017</w:t>
      </w:r>
      <w:r>
        <w:t> and related prudential standards. Key requirements include:</w:t>
      </w:r>
    </w:p>
    <w:p>
      <w:pPr>
        <w:ind w:left="720" w:hanging="360"/>
      </w:pPr>
      <w:r>
        <w:t xml:space="preserve">•  </w:t>
      </w:r>
      <w:r>
        <w:t>Fit and Proper Standards for Financial Sector Entities (BN/2020/2021);</w:t>
      </w:r>
    </w:p>
    <w:p>
      <w:pPr>
        <w:ind w:left="720" w:hanging="360"/>
      </w:pPr>
      <w:r>
        <w:t xml:space="preserve">•  </w:t>
      </w:r>
      <w:r>
        <w:t>Requirement for honest and integrity in all dealings;</w:t>
      </w:r>
    </w:p>
    <w:p>
      <w:pPr>
        <w:ind w:left="720" w:hanging="360"/>
      </w:pPr>
      <w:r>
        <w:t xml:space="preserve">•  </w:t>
      </w:r>
      <w:r>
        <w:t>Requirement for competence and capability;</w:t>
      </w:r>
    </w:p>
    <w:p>
      <w:pPr>
        <w:ind w:left="720" w:hanging="360"/>
      </w:pPr>
      <w:r>
        <w:t xml:space="preserve">•  </w:t>
      </w:r>
      <w:r>
        <w:t>Requirement for sound financial standing.</w:t>
      </w:r>
    </w:p>
    <w:p>
      <w:pPr>
        <w:pStyle w:val="Heading1"/>
      </w:pPr>
      <w:r>
        <w:t>2. COMPLAINANT DETAILS</w:t>
      </w:r>
    </w:p>
    <w:p>
      <w:pPr>
        <w:ind w:left="720" w:hanging="360"/>
      </w:pPr>
      <w:r>
        <w:t xml:space="preserve">•  </w:t>
      </w:r>
      <w:r>
        <w:t>Name: Wilbur William Matthee</w:t>
      </w:r>
    </w:p>
    <w:p>
      <w:pPr>
        <w:ind w:left="720" w:hanging="360"/>
      </w:pPr>
      <w:r>
        <w:t xml:space="preserve">•  </w:t>
      </w:r>
      <w:r>
        <w:t>Capacity: Former employee; whistleblower; affected party</w:t>
      </w:r>
    </w:p>
    <w:p>
      <w:pPr>
        <w:ind w:left="720" w:hanging="360"/>
      </w:pPr>
      <w:r>
        <w:t xml:space="preserve">•  </w:t>
      </w:r>
      <w:r>
        <w:t>Contact: info@ethichawks.co.za | 069 635 1435</w:t>
      </w:r>
    </w:p>
    <w:p>
      <w:pPr>
        <w:pStyle w:val="Heading1"/>
      </w:pPr>
      <w:r>
        <w:t>3. RESPONDENT DETAILS</w:t>
      </w:r>
    </w:p>
    <w:p>
      <w:pPr>
        <w:ind w:left="720" w:hanging="360"/>
      </w:pPr>
      <w:r>
        <w:t xml:space="preserve">•  </w:t>
      </w:r>
      <w:r>
        <w:t>Entity: AfroCentric Health (RF) (Pty) Ltd</w:t>
      </w:r>
    </w:p>
    <w:p>
      <w:pPr>
        <w:ind w:left="720" w:hanging="360"/>
      </w:pPr>
      <w:r>
        <w:t xml:space="preserve">•  </w:t>
      </w:r>
      <w:r>
        <w:t>Registration: 1996/009540/07</w:t>
      </w:r>
    </w:p>
    <w:p>
      <w:pPr>
        <w:ind w:left="720" w:hanging="360"/>
      </w:pPr>
      <w:r>
        <w:t xml:space="preserve">•  </w:t>
      </w:r>
      <w:r>
        <w:t>Holding Company: Sanlam Life Insurance Limited (regulated entity)</w:t>
      </w:r>
    </w:p>
    <w:p>
      <w:pPr>
        <w:ind w:left="720" w:hanging="360"/>
      </w:pPr>
      <w:r>
        <w:t xml:space="preserve">•  </w:t>
      </w:r>
      <w:r>
        <w:t>Activities: Medical scheme administration; managed care; health insurance</w:t>
      </w:r>
    </w:p>
    <w:p>
      <w:pPr>
        <w:pStyle w:val="Heading1"/>
      </w:pPr>
      <w:r>
        <w:t>4. ALLEGED BREACHES OF FIT AND PROPER REQUIREMENTS</w:t>
      </w:r>
    </w:p>
    <w:p>
      <w:pPr>
        <w:pStyle w:val="Heading2"/>
      </w:pPr>
      <w:r>
        <w:t>4.1 Honesty and Integrity</w:t>
      </w:r>
    </w:p>
    <w:p>
      <w:r>
        <w:t>The Prudential Authority's Fit and Proper Standards require that controllers and key persons demonstrate honesty and integrity. The following conduct breaches this requirement:</w:t>
      </w:r>
    </w:p>
    <w:p>
      <w:pPr>
        <w:ind w:left="720" w:hanging="360"/>
      </w:pPr>
      <w:r>
        <w:t xml:space="preserve">1. </w:t>
      </w:r>
      <w:r>
        <w:t>Knowingly approving a materially misleading Integrated Annual Report;</w:t>
      </w:r>
    </w:p>
    <w:p>
      <w:pPr>
        <w:ind w:left="720" w:hanging="360"/>
      </w:pPr>
      <w:r>
        <w:t xml:space="preserve">2. </w:t>
      </w:r>
      <w:r>
        <w:t>Concealing Section 162 Director Delinquency proceedings from public disclosures;</w:t>
      </w:r>
    </w:p>
    <w:p>
      <w:pPr>
        <w:ind w:left="720" w:hanging="360"/>
      </w:pPr>
      <w:r>
        <w:t xml:space="preserve">3. </w:t>
      </w:r>
      <w:r>
        <w:t>Suppressing Priority 1 clinical risks affecting member safety;</w:t>
      </w:r>
    </w:p>
    <w:p>
      <w:pPr>
        <w:ind w:left="720" w:hanging="360"/>
      </w:pPr>
      <w:r>
        <w:t xml:space="preserve">4. </w:t>
      </w:r>
      <w:r>
        <w:t>Misrepresenting B-BBEE status while under investigation for fronting.</w:t>
      </w:r>
    </w:p>
    <w:p>
      <w:pPr>
        <w:pStyle w:val="Heading2"/>
      </w:pPr>
      <w:r>
        <w:t>4.2 Competence and Capability</w:t>
      </w:r>
    </w:p>
    <w:p>
      <w:r>
        <w:t>The Board's approval of the Report while subject to pending delinquency proceedings calls into question their competence to exercise fiduciary duties. The failure to disclose material risks demonstrates inadequate risk governance capability.</w:t>
      </w:r>
    </w:p>
    <w:p>
      <w:pPr>
        <w:pStyle w:val="Heading2"/>
      </w:pPr>
      <w:r>
        <w:t>4.3 Financial Soundness</w:t>
      </w:r>
    </w:p>
    <w:p>
      <w:r>
        <w:t>The concealment of material legal and regulatory risks may have affected the company's financial position and solvency assessment. The Report's financial statements may not fairly present the company's true financial position.</w:t>
      </w:r>
    </w:p>
    <w:p>
      <w:pPr>
        <w:pStyle w:val="Heading1"/>
      </w:pPr>
      <w:r>
        <w:t>5. SPECIFIC CONDUCT CONCERNS</w:t>
      </w:r>
    </w:p>
    <w:p>
      <w:r>
        <w:rPr>
          <w:b/>
        </w:rPr>
        <w:t>5.1 Section 162 Director Delinquency Proceedings</w:t>
      </w:r>
    </w:p>
    <w:p>
      <w:r>
        <w:t>The directors approved the Report on 31 March 2026 while subject to Section 162 proceedings filed on 25 March 2026. This demonstrates a fundamental breach of the honesty and integrity requirement.</w:t>
      </w:r>
    </w:p>
    <w:p>
      <w:r>
        <w:rPr>
          <w:b/>
        </w:rPr>
        <w:t>5.2 Clinical Risk Concealment</w:t>
      </w:r>
    </w:p>
    <w:p>
      <w:r>
        <w:t>The Priority 1 Gexus-DMS integration failure affected member safety and should have been disclosed as a material operational risk. The Chief Risk Officer's suppression of this risk (18 December 2025) demonstrates governance failure.</w:t>
      </w:r>
    </w:p>
    <w:p>
      <w:r>
        <w:rPr>
          <w:b/>
        </w:rPr>
        <w:t>5.3 Whistleblower Retaliation</w:t>
      </w:r>
    </w:p>
    <w:p>
      <w:r>
        <w:t>The documented retaliation against the whistleblower (including unlawful salary deduction, discrimination, and constructive dismissal) following a protected disclosure demonstrates an unethical culture inconsistent with fit and proper requirements.</w:t>
      </w:r>
    </w:p>
    <w:p>
      <w:pPr>
        <w:pStyle w:val="Heading1"/>
      </w:pPr>
      <w:r>
        <w:t>6. SYSTEMIC RISK CONCERNS</w:t>
      </w:r>
    </w:p>
    <w:p>
      <w:r>
        <w:t>As a major healthcare administrator serving over 4 million lives, AfroCentric's governance failures pose systemic risks:</w:t>
      </w:r>
    </w:p>
    <w:p>
      <w:pPr>
        <w:ind w:left="720" w:hanging="360"/>
      </w:pPr>
      <w:r>
        <w:t xml:space="preserve">•  </w:t>
      </w:r>
      <w:r>
        <w:t>Member Safety: Concealed clinical risks may affect beneficiary health outcomes;</w:t>
      </w:r>
    </w:p>
    <w:p>
      <w:pPr>
        <w:ind w:left="720" w:hanging="360"/>
      </w:pPr>
      <w:r>
        <w:t xml:space="preserve">•  </w:t>
      </w:r>
      <w:r>
        <w:t>Public Funds: GEMS is a public-sector scheme - governance failures affect taxpayer funds;</w:t>
      </w:r>
    </w:p>
    <w:p>
      <w:pPr>
        <w:ind w:left="720" w:hanging="360"/>
      </w:pPr>
      <w:r>
        <w:t xml:space="preserve">•  </w:t>
      </w:r>
      <w:r>
        <w:t>Market Confidence: Material misrepresentations undermine confidence in regulated entities;</w:t>
      </w:r>
    </w:p>
    <w:p>
      <w:pPr>
        <w:ind w:left="720" w:hanging="360"/>
      </w:pPr>
      <w:r>
        <w:t xml:space="preserve">•  </w:t>
      </w:r>
      <w:r>
        <w:t>Sanlam Exposure: As a subsidiary of a regulated insurer, governance failures may affect group risk.</w:t>
      </w:r>
    </w:p>
    <w:p>
      <w:pPr>
        <w:pStyle w:val="Heading1"/>
      </w:pPr>
      <w:r>
        <w:t>7. REQUESTED ACTION</w:t>
      </w:r>
    </w:p>
    <w:p>
      <w:r>
        <w:t>I respectfully request that the Prudential Authority:</w:t>
      </w:r>
    </w:p>
    <w:p>
      <w:pPr>
        <w:ind w:left="720" w:hanging="360"/>
      </w:pPr>
      <w:r>
        <w:t xml:space="preserve">1. </w:t>
      </w:r>
      <w:r>
        <w:t>Assess whether the directors remain fit and proper to hold office;</w:t>
      </w:r>
    </w:p>
    <w:p>
      <w:pPr>
        <w:ind w:left="720" w:hanging="360"/>
      </w:pPr>
      <w:r>
        <w:t xml:space="preserve">2. </w:t>
      </w:r>
      <w:r>
        <w:t>Investigate the governance failures identified in this complaint;</w:t>
      </w:r>
    </w:p>
    <w:p>
      <w:pPr>
        <w:ind w:left="720" w:hanging="360"/>
      </w:pPr>
      <w:r>
        <w:t xml:space="preserve">3. </w:t>
      </w:r>
      <w:r>
        <w:t>Consider requiring the holding company (Sanlam) to enhance oversight of the subsidiary;</w:t>
      </w:r>
    </w:p>
    <w:p>
      <w:pPr>
        <w:ind w:left="720" w:hanging="360"/>
      </w:pPr>
      <w:r>
        <w:t xml:space="preserve">4. </w:t>
      </w:r>
      <w:r>
        <w:t>Notify the Council for Medical Schemes of any prudential concerns;</w:t>
      </w:r>
    </w:p>
    <w:p>
      <w:pPr>
        <w:ind w:left="720" w:hanging="360"/>
      </w:pPr>
      <w:r>
        <w:t xml:space="preserve">5. </w:t>
      </w:r>
      <w:r>
        <w:t>Consider imposing conditions on the entity's continued operations if fit and proper concerns are substantiated.</w:t>
      </w:r>
    </w:p>
    <w:p>
      <w:pPr>
        <w:pStyle w:val="Heading1"/>
      </w:pPr>
      <w:r>
        <w:t>8. SUPPORTING EVIDENCE</w:t>
      </w:r>
    </w:p>
    <w:p>
      <w:pPr>
        <w:ind w:left="720" w:hanging="360"/>
      </w:pPr>
      <w:r>
        <w:t xml:space="preserve">•  </w:t>
      </w:r>
      <w:r>
        <w:t>Protected Disclosure dated 2 April 2026;</w:t>
      </w:r>
    </w:p>
    <w:p>
      <w:pPr>
        <w:ind w:left="720" w:hanging="360"/>
      </w:pPr>
      <w:r>
        <w:t xml:space="preserve">•  </w:t>
      </w:r>
      <w:r>
        <w:t>Western Cape High Court Section 162 Application (Case No. 2026-066952);</w:t>
      </w:r>
    </w:p>
    <w:p>
      <w:pPr>
        <w:ind w:left="720" w:hanging="360"/>
      </w:pPr>
      <w:r>
        <w:t xml:space="preserve">•  </w:t>
      </w:r>
      <w:r>
        <w:t>Labour Court Statement of Claim (Case No. 2026-077546);</w:t>
      </w:r>
    </w:p>
    <w:p>
      <w:pPr>
        <w:ind w:left="720" w:hanging="360"/>
      </w:pPr>
      <w:r>
        <w:t xml:space="preserve">•  </w:t>
      </w:r>
      <w:r>
        <w:t>B-BBEE Commission Case File (Case No. 5/02/2026);</w:t>
      </w:r>
    </w:p>
    <w:p>
      <w:pPr>
        <w:ind w:left="720" w:hanging="360"/>
      </w:pPr>
      <w:r>
        <w:t xml:space="preserve">•  </w:t>
      </w:r>
      <w:r>
        <w:t>CMS Referral documentation.</w:t>
      </w:r>
    </w:p>
    <w:p>
      <w:pPr>
        <w:spacing w:before="400"/>
      </w:pPr>
    </w:p>
    <w:p>
      <w:r>
        <w:t>This complaint is submitted in good faith under the Protected Disclosures Act 26 of 2000.</w:t>
      </w:r>
    </w:p>
    <w:p>
      <w:pPr>
        <w:spacing w:before="400"/>
      </w:pPr>
    </w:p>
    <w:p>
      <w:r>
        <w:t>Yours faithfully,</w:t>
      </w:r>
    </w:p>
    <w:p>
      <w:pPr>
        <w:spacing w:before="200"/>
      </w:pPr>
    </w:p>
    <w:p>
      <w:r>
        <w:rPr>
          <w:b/>
        </w:rPr>
        <w:t>Wilbur William Matthee</w:t>
      </w:r>
    </w:p>
    <w:p>
      <w:r>
        <w:t>Registered Nurse Specialist | Forensic Governance Practitioner</w:t>
      </w:r>
    </w:p>
    <w:p>
      <w:r>
        <w:t>12 April 2026</w:t>
      </w:r>
    </w:p>
    <w:sectPr>
      <w:headerReference xmlns:r="http://schemas.openxmlformats.org/officeDocument/2006/relationships" w:type="default" r:id="Rc3ce4a6ffa9143ca"/>
      <w:footerReference xmlns:r="http://schemas.openxmlformats.org/officeDocument/2006/relationships" w:type="default" r:id="Rc6660cc7dce445c9"/>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4a5568"/>
        <w:sz w:val="20"/>
      </w:rPr>
      <w:t xml:space="preserve">Page </w:t>
    </w:r>
    <w:r>
      <w:fldChar w:fldCharType="begin"/>
    </w:r>
    <w:r>
      <w:instrText> PAGE </w:instrText>
    </w:r>
    <w:r>
      <w:fldChar w:fldCharType="separate"/>
    </w:r>
    <w:r>
      <w:t>1</w:t>
    </w:r>
    <w:r>
      <w:fldChar w:fldCharType="end"/>
    </w:r>
    <w:r>
      <w:rPr>
        <w:color w:val="4a5568"/>
        <w:sz w:val="20"/>
      </w:rPr>
      <w:t xml:space="preserve"> of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pBdr>
        <w:bottom w:val="single" w:color="1a365d" w:sz="6"/>
      </w:pBdr>
      <w:jc w:val="center"/>
    </w:pPr>
    <w:r>
      <w:rPr>
        <w:b/>
        <w:color w:val="1a365d"/>
        <w:sz w:val="20"/>
      </w:rPr>
      <w:t>PRUDENTIAL AUTHORITY - FIT AND PROPER COMPLAINT</w:t>
    </w:r>
  </w:p>
</w:hdr>
</file>

<file path=word/styles.xml><?xml version="1.0" encoding="utf-8"?>
<w:styles xmlns:w="http://schemas.openxmlformats.org/wordprocessingml/2006/main">
  <w:style w:type="paragraph" w:styleId="Normal" w:default="true">
    <w:name w:val="Normal"/>
    <w:pPr>
      <w:spacing w:after="200" w:line="276" w:lineRule="auto"/>
    </w:pPr>
    <w:rPr>
      <w:rFonts w:ascii="Times New Roman" w:hAnsi="Times New Roman"/>
      <w:color w:val="1a202c"/>
      <w:sz w:val="24"/>
    </w:rPr>
  </w:style>
  <w:style w:type="paragraph" w:styleId="Heading1">
    <w:name w:val="heading 1"/>
    <w:basedOn w:val="Normal"/>
    <w:pPr>
      <w:keepNext/>
      <w:spacing w:before="400" w:after="200"/>
      <w:outlineLvl w:val="0"/>
    </w:pPr>
    <w:rPr>
      <w:b/>
      <w:color w:val="1a365d"/>
      <w:sz w:val="28"/>
    </w:rPr>
  </w:style>
  <w:style w:type="paragraph" w:styleId="Heading2">
    <w:name w:val="heading 2"/>
    <w:basedOn w:val="Normal"/>
    <w:pPr>
      <w:keepNext/>
      <w:spacing w:before="300" w:after="120"/>
      <w:outlineLvl w:val="1"/>
    </w:pPr>
    <w:rPr>
      <w:b/>
      <w:color w:val="1a365d"/>
      <w:sz w:val="24"/>
    </w:rPr>
  </w:style>
</w:styles>
</file>

<file path=word/_rels/document.xml.rels>&#65279;<?xml version="1.0" encoding="utf-8"?><Relationships xmlns="http://schemas.openxmlformats.org/package/2006/relationships"><Relationship Type="http://schemas.openxmlformats.org/officeDocument/2006/relationships/styles" Target="/word/styles.xml" Id="R6da459d0c0654f8a" /><Relationship Type="http://schemas.openxmlformats.org/officeDocument/2006/relationships/header" Target="/word/header1.xml" Id="Rc3ce4a6ffa9143ca" /><Relationship Type="http://schemas.openxmlformats.org/officeDocument/2006/relationships/footer" Target="/word/footer1.xml" Id="Rc6660cc7dce445c9" /></Relationships>
</file>