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deac1dd3d47243eb"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c953450e38ce4282"/>
                    <a:stretch>
                      <a:fillRect/>
                    </a:stretch>
                  </pic:blipFill>
                  <pic:spPr>
                    <a:xfrm>
                      <a:off x="0" y="0"/>
                      <a:ext cx="7560000" cy="10692000"/>
                    </a:xfrm>
                    <a:prstGeom prst="rect"/>
                  </pic:spPr>
                </pic:pic>
              </a:graphicData>
            </a:graphic>
          </wp:anchor>
        </w:drawing>
      </w:r>
    </w:p>
    <w:p>
      <w:pPr>
        <w:spacing w:before="4800"/>
      </w:pPr>
      <w:r/>
    </w:p>
    <w:p>
      <w:pPr>
        <w:spacing w:after="120"/>
        <w:jc w:val="center"/>
      </w:pPr>
      <w:r>
        <w:rPr>
          <w:rFonts w:ascii="Cambria" w:hAnsi="Cambria"/>
          <w:b/>
          <w:color w:val="1a2644"/>
          <w:spacing w:val="30"/>
          <w:sz w:val="64"/>
        </w:rPr>
        <w:t>ROUND TABLE MEETING</w:t>
      </w:r>
    </w:p>
    <w:p>
      <w:pPr>
        <w:spacing w:after="600"/>
        <w:jc w:val="center"/>
      </w:pPr>
      <w:r>
        <w:rPr>
          <w:rFonts w:ascii="Cambria" w:hAnsi="Cambria"/>
          <w:color w:val="5a5a5a"/>
          <w:spacing w:val="60"/>
          <w:sz w:val="36"/>
        </w:rPr>
        <w:t>BRIEF FOR REPRESENTATION</w:t>
      </w:r>
    </w:p>
    <w:p>
      <w:pPr>
        <w:spacing w:after="600"/>
        <w:jc w:val="center"/>
      </w:pPr>
      <w:r>
        <w:rPr>
          <w:color w:val="c9a84c"/>
          <w:sz w:val="20"/>
        </w:rPr>
        <w:t>———  ✦  ———</w:t>
      </w:r>
    </w:p>
    <w:p>
      <w:pPr>
        <w:spacing w:after="80"/>
        <w:jc w:val="center"/>
      </w:pPr>
      <w:r>
        <w:rPr>
          <w:color w:val="8a8a8a"/>
          <w:sz w:val="20"/>
        </w:rPr>
        <w:t>Prepared for</w:t>
      </w:r>
      <w:r>
        <w:rPr>
          <w:color w:val="2c2c2c"/>
          <w:sz w:val="20"/>
        </w:rPr>
        <w:t>   Wilbur William Matthee</w:t>
      </w:r>
    </w:p>
    <w:p>
      <w:pPr>
        <w:spacing w:after="80"/>
        <w:jc w:val="center"/>
      </w:pPr>
      <w:r>
        <w:rPr>
          <w:color w:val="8a8a8a"/>
          <w:sz w:val="18"/>
        </w:rPr>
        <w:t>Self-Represented Complainant / Whistleblower</w:t>
      </w:r>
    </w:p>
    <w:p>
      <w:pPr>
        <w:spacing w:after="400"/>
        <w:jc w:val="center"/>
      </w:pPr>
      <w:r>
        <w:rPr>
          <w:color w:val="8a8a8a"/>
          <w:sz w:val="18"/>
        </w:rPr>
        <w:t>Without Prejudice Engagement</w:t>
      </w:r>
    </w:p>
    <w:p>
      <w:pPr>
        <w:spacing w:after="60"/>
        <w:jc w:val="center"/>
      </w:pPr>
      <w:r>
        <w:rPr>
          <w:color w:val="5a5a5a"/>
          <w:sz w:val="18"/>
        </w:rPr>
        <w:t>AfroCentric Investment Corporation Limited</w:t>
      </w:r>
    </w:p>
    <w:p>
      <w:pPr>
        <w:spacing w:after="60"/>
        <w:jc w:val="center"/>
      </w:pPr>
      <w:r>
        <w:rPr>
          <w:color w:val="5a5a5a"/>
          <w:sz w:val="18"/>
        </w:rPr>
        <w:t>Proposed meeting date: no later than 27 June 2026</w:t>
      </w:r>
    </w:p>
    <w:p>
      <w:pPr>
        <w:spacing w:before="2400"/>
        <w:jc w:val="center"/>
      </w:pPr>
      <w:r>
        <w:rPr>
          <w:color w:val="8a8a8a"/>
          <w:sz w:val="18"/>
        </w:rPr>
        <w:t>17 June 2026</w:t>
      </w:r>
    </w:p>
    <w:p>
      <w:pPr>
        <w:sectPr>
          <w:type w:val="nextPage"/>
          <w:pgSz w:w="11906" w:h="16838"/>
          <w:pgMar w:top="0" w:right="0" w:bottom="0" w:left="0" w:header="0" w:footer="0"/>
          <w:titlePg/>
        </w:sectPr>
      </w:pPr>
    </w:p>
    <w:p>
      <w:pPr>
        <w:pStyle w:val="Heading1"/>
      </w:pPr>
      <w:r>
        <w:t>Table of Contents</w:t>
      </w:r>
    </w:p>
    <w:p>
      <w:pPr>
        <w:spacing w:after="240"/>
      </w:pPr>
      <w:r>
        <w:rPr>
          <w:color w:val="8a8a8a"/>
          <w:sz w:val="18"/>
        </w:rPr>
        <w:t>Right-click the TOC and select "Update Field" to refresh page numbers</w:t>
      </w:r>
    </w:p>
    <w:p>
      <w:r>
        <w:fldChar w:fldCharType="begin"/>
      </w:r>
      <w:r>
        <w:instrText xml:space="preserve"> TOC \o "1-3" \h \z \u </w:instrText>
      </w:r>
      <w:r>
        <w:fldChar w:fldCharType="separate"/>
      </w:r>
    </w:p>
    <w:p>
      <w:pPr>
        <w:pStyle w:val="TOC1"/>
      </w:pPr>
      <w:r>
        <w:t>Executive Summary – Why This Meeting Matters</w:t>
      </w:r>
      <w:r>
        <w:tab/>
      </w:r>
      <w:r>
        <w:t>3</w:t>
      </w:r>
    </w:p>
    <w:p>
      <w:pPr>
        <w:pStyle w:val="TOC1"/>
      </w:pPr>
      <w:r>
        <w:t>The Complainant’s Position – Core Principles</w:t>
      </w:r>
      <w:r>
        <w:tab/>
      </w:r>
      <w:r>
        <w:t>4</w:t>
      </w:r>
    </w:p>
    <w:p>
      <w:pPr>
        <w:pStyle w:val="TOC2"/>
      </w:pPr>
      <w:r>
        <w:t>Protected Disclosures Are Valid</w:t>
      </w:r>
      <w:r>
        <w:tab/>
      </w:r>
      <w:r>
        <w:t>4</w:t>
      </w:r>
    </w:p>
    <w:p>
      <w:pPr>
        <w:pStyle w:val="TOC2"/>
      </w:pPr>
      <w:r>
        <w:t>The Interdict Must Be Addressed</w:t>
      </w:r>
      <w:r>
        <w:tab/>
      </w:r>
      <w:r>
        <w:t>5</w:t>
      </w:r>
    </w:p>
    <w:p>
      <w:pPr>
        <w:pStyle w:val="TOC2"/>
      </w:pPr>
      <w:r>
        <w:t>The Complainant’s Destitution</w:t>
      </w:r>
      <w:r>
        <w:tab/>
      </w:r>
      <w:r>
        <w:t>5</w:t>
      </w:r>
    </w:p>
    <w:p>
      <w:pPr>
        <w:pStyle w:val="TOC1"/>
      </w:pPr>
      <w:r>
        <w:t>The Employer’s Position – Anticipated Arguments</w:t>
      </w:r>
      <w:r>
        <w:tab/>
      </w:r>
      <w:r>
        <w:t>6</w:t>
      </w:r>
    </w:p>
    <w:p>
      <w:pPr>
        <w:pStyle w:val="TOC1"/>
      </w:pPr>
      <w:r>
        <w:t>The Complainant’s Negotiating Position</w:t>
      </w:r>
      <w:r>
        <w:tab/>
      </w:r>
      <w:r>
        <w:t>7</w:t>
      </w:r>
    </w:p>
    <w:p>
      <w:pPr>
        <w:pStyle w:val="TOC2"/>
      </w:pPr>
      <w:r>
        <w:t>Non-Negotiable Items</w:t>
      </w:r>
      <w:r>
        <w:tab/>
      </w:r>
      <w:r>
        <w:t>7</w:t>
      </w:r>
    </w:p>
    <w:p>
      <w:pPr>
        <w:pStyle w:val="TOC2"/>
      </w:pPr>
      <w:r>
        <w:t>Negotiable Items</w:t>
      </w:r>
      <w:r>
        <w:tab/>
      </w:r>
      <w:r>
        <w:t>7</w:t>
      </w:r>
    </w:p>
    <w:p>
      <w:pPr>
        <w:pStyle w:val="TOC2"/>
      </w:pPr>
      <w:r>
        <w:t>Conditions for Any Settlement</w:t>
      </w:r>
      <w:r>
        <w:tab/>
      </w:r>
      <w:r>
        <w:t>8</w:t>
      </w:r>
    </w:p>
    <w:p>
      <w:pPr>
        <w:pStyle w:val="TOC1"/>
      </w:pPr>
      <w:r>
        <w:t>The Parliamentary Submission</w:t>
      </w:r>
      <w:r>
        <w:tab/>
      </w:r>
      <w:r>
        <w:t>9</w:t>
      </w:r>
    </w:p>
    <w:p>
      <w:pPr>
        <w:pStyle w:val="TOC1"/>
      </w:pPr>
      <w:r>
        <w:t>Key Documents for the Meeting</w:t>
      </w:r>
      <w:r>
        <w:tab/>
      </w:r>
      <w:r>
        <w:t>10</w:t>
      </w:r>
    </w:p>
    <w:p>
      <w:pPr>
        <w:pStyle w:val="TOC1"/>
      </w:pPr>
      <w:r>
        <w:t>The Complainant’s Objectives</w:t>
      </w:r>
      <w:r>
        <w:tab/>
      </w:r>
      <w:r>
        <w:t>11</w:t>
      </w:r>
    </w:p>
    <w:p>
      <w:pPr>
        <w:pStyle w:val="TOC1"/>
      </w:pPr>
      <w:r>
        <w:t>Escalation Pathway</w:t>
      </w:r>
      <w:r>
        <w:tab/>
      </w:r>
      <w:r>
        <w:t>12</w:t>
      </w:r>
    </w:p>
    <w:p>
      <w:pPr>
        <w:pStyle w:val="TOC1"/>
      </w:pPr>
      <w:r>
        <w:t>Conclusion – The Choice Before the Employer</w:t>
      </w:r>
      <w:r>
        <w:tab/>
      </w:r>
      <w:r>
        <w:t>13</w:t>
      </w:r>
    </w:p>
    <w:p>
      <w:r>
        <w:fldChar w:fldCharType="end"/>
      </w:r>
    </w:p>
    <w:p>
      <w:pPr>
        <w:sectPr>
          <w:type w:val="nextPage"/>
          <w:pgSz w:w="11906" w:h="16838"/>
          <w:pgMar w:top="1800" w:right="1440" w:bottom="1440" w:left="1440" w:header="720" w:footer="720"/>
        </w:sectPr>
      </w:pPr>
    </w:p>
    <w:p>
      <w:pPr>
        <w:pStyle w:val="Heading1"/>
      </w:pPr>
      <w:r>
        <w:t>1. Executive Summary – Why This Meeting Matters</w:t>
      </w:r>
      <w:bookmarkStart w:name="_Toc001" w:id="1"/>
      <w:bookmarkEnd w:id="1"/>
    </w:p>
    <w:p>
      <w:r>
        <w:t>This meeting is not a routine settlement negotiation. It is the first direct engagement between the whistleblower and the employer’s decision-makers since the Priority 1 Material Risk Report was suppressed, the CRO issued a gag order, and the employer obtained an ex parte interdict after concealing the answering affidavit.</w:t>
      </w:r>
    </w:p>
    <w:p>
      <w:r>
        <w:t>The stakes are profound for both parties:</w:t>
      </w:r>
    </w:p>
    <w:tbl>
      <w:tblPr>
        <w:tblW w:w="5000" w:type="pct"/>
        <w:tblBorders>
          <w:top w:val="single" w:color="1a2644" w:sz="12"/>
          <w:left w:val="nil"/>
          <w:bottom w:val="single" w:color="1a2644" w:sz="12"/>
          <w:right w:val="nil"/>
          <w:insideH w:val="single" w:color="d9d4c9" w:sz="4"/>
          <w:insideV w:val="single" w:color="d9d4c9" w:sz="4"/>
        </w:tblBorders>
      </w:tblPr>
      <w:tblGrid>
        <w:gridCol w:w="5000"/>
        <w:gridCol w:w="5000"/>
      </w:tblGrid>
      <w:tr>
        <w:trPr>
          <w:tblHeader/>
        </w:trPr>
        <w:tc>
          <w:tcPr>
            <w:tcW w:w="5000" w:type="auto"/>
            <w:shd w:val="clear" w:fill="f0efe9"/>
          </w:tcPr>
          <w:p>
            <w:pPr>
              <w:spacing w:before="60" w:after="60"/>
              <w:jc w:val="center"/>
            </w:pPr>
            <w:r>
              <w:rPr>
                <w:b/>
                <w:color w:val="1a2644"/>
                <w:sz w:val="20"/>
              </w:rPr>
              <w:t>For the Whistleblower</w:t>
            </w:r>
          </w:p>
        </w:tc>
        <w:tc>
          <w:tcPr>
            <w:tcW w:w="5000" w:type="auto"/>
            <w:shd w:val="clear" w:fill="f0efe9"/>
          </w:tcPr>
          <w:p>
            <w:pPr>
              <w:spacing w:before="60" w:after="60"/>
              <w:jc w:val="center"/>
            </w:pPr>
            <w:r>
              <w:rPr>
                <w:b/>
                <w:color w:val="1a2644"/>
                <w:sz w:val="20"/>
              </w:rPr>
              <w:t>For the Employer</w:t>
            </w:r>
          </w:p>
        </w:tc>
      </w:tr>
      <w:tr>
        <w:tc>
          <w:tcPr>
            <w:tcW w:w="5000" w:type="auto"/>
          </w:tcPr>
          <w:p>
            <w:pPr>
              <w:spacing w:before="60" w:after="60"/>
            </w:pPr>
            <w:r>
              <w:rPr>
                <w:color w:val="2c2c2c"/>
                <w:sz w:val="20"/>
              </w:rPr>
              <w:t>Survival – homeless, no income, no running water, deregistered</w:t>
            </w:r>
          </w:p>
        </w:tc>
        <w:tc>
          <w:tcPr>
            <w:tcW w:w="5000" w:type="auto"/>
          </w:tcPr>
          <w:p>
            <w:pPr>
              <w:spacing w:before="60" w:after="60"/>
            </w:pPr>
            <w:r>
              <w:rPr>
                <w:color w:val="2c2c2c"/>
                <w:sz w:val="20"/>
              </w:rPr>
              <w:t>Reputational collapse – parliamentary oversight, forensic evidence bundle</w:t>
            </w:r>
          </w:p>
        </w:tc>
      </w:tr>
      <w:tr>
        <w:tc>
          <w:tcPr>
            <w:tcW w:w="5000" w:type="auto"/>
          </w:tcPr>
          <w:p>
            <w:pPr>
              <w:spacing w:before="60" w:after="60"/>
            </w:pPr>
            <w:r>
              <w:rPr>
                <w:color w:val="2c2c2c"/>
                <w:sz w:val="20"/>
              </w:rPr>
              <w:t>Access to justice – 9 proceedings stalled or obstructed</w:t>
            </w:r>
          </w:p>
        </w:tc>
        <w:tc>
          <w:tcPr>
            <w:tcW w:w="5000" w:type="auto"/>
          </w:tcPr>
          <w:p>
            <w:pPr>
              <w:spacing w:before="60" w:after="60"/>
            </w:pPr>
            <w:r>
              <w:rPr>
                <w:color w:val="2c2c2c"/>
                <w:sz w:val="20"/>
              </w:rPr>
              <w:t>Regulatory exposure – CMS, SANC, B-BBEE, JSE, FSCA, SAHRC, SAPS</w:t>
            </w:r>
          </w:p>
        </w:tc>
      </w:tr>
      <w:tr>
        <w:tc>
          <w:tcPr>
            <w:tcW w:w="5000" w:type="auto"/>
          </w:tcPr>
          <w:p>
            <w:pPr>
              <w:spacing w:before="60" w:after="60"/>
            </w:pPr>
            <w:r>
              <w:rPr>
                <w:color w:val="2c2c2c"/>
                <w:sz w:val="20"/>
              </w:rPr>
              <w:t>Restoration of professional registration</w:t>
            </w:r>
          </w:p>
        </w:tc>
        <w:tc>
          <w:tcPr>
            <w:tcW w:w="5000" w:type="auto"/>
          </w:tcPr>
          <w:p>
            <w:pPr>
              <w:spacing w:before="60" w:after="60"/>
            </w:pPr>
            <w:r>
              <w:rPr>
                <w:color w:val="2c2c2c"/>
                <w:sz w:val="20"/>
              </w:rPr>
              <w:t>Material litigation – Section 162 delinquency, criminal case, Labour Court</w:t>
            </w:r>
          </w:p>
        </w:tc>
      </w:tr>
      <w:tr>
        <w:tc>
          <w:tcPr>
            <w:tcW w:w="5000" w:type="auto"/>
          </w:tcPr>
          <w:p>
            <w:pPr>
              <w:spacing w:before="60" w:after="60"/>
            </w:pPr>
            <w:r>
              <w:rPr>
                <w:color w:val="2c2c2c"/>
                <w:sz w:val="20"/>
              </w:rPr>
              <w:t>UIF benefits – blocked by false UI-19</w:t>
            </w:r>
          </w:p>
        </w:tc>
        <w:tc>
          <w:tcPr>
            <w:tcW w:w="5000" w:type="auto"/>
          </w:tcPr>
          <w:p>
            <w:pPr>
              <w:spacing w:before="60" w:after="60"/>
            </w:pPr>
            <w:r>
              <w:rPr>
                <w:color w:val="2c2c2c"/>
                <w:sz w:val="20"/>
              </w:rPr>
              <w:t>Market integrity – false Integrated Annual Report 2025</w:t>
            </w:r>
          </w:p>
        </w:tc>
      </w:tr>
    </w:tbl>
    <w:p>
      <w:r>
        <w:t>This meeting is the employer’s last opportunity to resolve this matter before the parliamentary submission is lodged and the evidentiary bundle becomes irrevocable.</w:t>
      </w:r>
    </w:p>
    <w:p>
      <w:pPr>
        <w:pStyle w:val="Heading1"/>
      </w:pPr>
      <w:r>
        <w:t>2. The Complainant’s Position – Core Principles</w:t>
      </w:r>
      <w:bookmarkStart w:name="_Toc002" w:id="2"/>
      <w:bookmarkEnd w:id="2"/>
    </w:p>
    <w:p>
      <w:pPr>
        <w:pStyle w:val="Heading2"/>
      </w:pPr>
      <w:r>
        <w:t>2.1 The Protected Disclosures Are Valid and Public Interest Matters</w:t>
      </w:r>
    </w:p>
    <w:p>
      <w:r>
        <w:t>The complainant made protected disclosures under the Protected Disclosures Act 26 of 2000 regarding:</w:t>
      </w:r>
    </w:p>
    <w:p>
      <w:pPr>
        <w:spacing w:after="100"/>
        <w:ind w:left="720" w:hanging="360"/>
      </w:pPr>
      <w:r>
        <w:rPr>
          <w:color w:val="c9a84c"/>
        </w:rPr>
        <w:t xml:space="preserve">•  </w:t>
      </w:r>
      <w:r>
        <w:t>A systemic Gexus-DMS integration gap generating false non-adherence letters to GEMS beneficiaries (Priority 1 clinical risk).</w:t>
      </w:r>
    </w:p>
    <w:p>
      <w:pPr>
        <w:spacing w:after="100"/>
        <w:ind w:left="720" w:hanging="360"/>
      </w:pPr>
      <w:r>
        <w:rPr>
          <w:color w:val="c9a84c"/>
        </w:rPr>
        <w:t xml:space="preserve">•  </w:t>
      </w:r>
      <w:r>
        <w:t>Unlawful salary deduction (40.47%) exceeding the BCEA Section 34(2) cap.</w:t>
      </w:r>
    </w:p>
    <w:p>
      <w:pPr>
        <w:spacing w:after="100"/>
        <w:ind w:left="720" w:hanging="360"/>
      </w:pPr>
      <w:r>
        <w:rPr>
          <w:color w:val="c9a84c"/>
        </w:rPr>
        <w:t xml:space="preserve">•  </w:t>
      </w:r>
      <w:r>
        <w:t>Gender-identity harassment (“Wilma” incident) – EEA Section 6 violation.</w:t>
      </w:r>
    </w:p>
    <w:p>
      <w:pPr>
        <w:spacing w:after="100"/>
        <w:ind w:left="720" w:hanging="360"/>
      </w:pPr>
      <w:r>
        <w:rPr>
          <w:color w:val="c9a84c"/>
        </w:rPr>
        <w:t xml:space="preserve">•  </w:t>
      </w:r>
      <w:r>
        <w:t>Disability discrimination – depression and PTSD dismissed as “cynical excuse” under oath.</w:t>
      </w:r>
    </w:p>
    <w:p>
      <w:pPr>
        <w:spacing w:after="100"/>
        <w:ind w:left="720" w:hanging="360"/>
      </w:pPr>
      <w:r>
        <w:rPr>
          <w:color w:val="c9a84c"/>
        </w:rPr>
        <w:t xml:space="preserve">•  </w:t>
      </w:r>
      <w:r>
        <w:t>Fronting – title suppression of NQF 8 Black professional for B-BBEE scorecard points.</w:t>
      </w:r>
    </w:p>
    <w:p>
      <w:r>
        <w:t>These disclosures were made in good faith, in the public interest, and are protected by law. The complainant will not accept any settlement that requires him to retract, apologise for, or silence these disclosures.</w:t>
      </w:r>
    </w:p>
    <w:p>
      <w:pPr>
        <w:pStyle w:val="Heading2"/>
      </w:pPr>
      <w:r>
        <w:t>2.2 The Interdict Must Be Addressed</w:t>
      </w:r>
    </w:p>
    <w:p>
      <w:r>
        <w:t>The interim interdict (Case 2026-086906) was obtained by concealment of the answering affidavit – a fraud on the court. It restrains the complainant from disclosing information to trade unions and regulators – overriding Section 9 of the PDA. It has been extended to 1 March 2027 – almost one year.</w:t>
      </w:r>
    </w:p>
    <w:p>
      <w:r>
        <w:t>Any resolution must address the interdict. The complainant cannot accept a settlement that leaves the gag order in place while he is destitute and silenced.</w:t>
      </w:r>
    </w:p>
    <w:p>
      <w:pPr>
        <w:pStyle w:val="Heading2"/>
      </w:pPr>
      <w:r>
        <w:t>2.3 The Complainant’s Destitution Is a Direct Consequence of the Employer’s Conduct</w:t>
      </w:r>
    </w:p>
    <w:p>
      <w:r>
        <w:t>The complainant is homeless (since 2 April 2026), without running water (since January 2026), deregistered by SANC (could not pay R870), and suffering from severe depression and PTSD (occupationally caused). His destitution is the direct consequence of the unlawful salary deduction, constructive dismissal, and the suppression of exit documents (false UI-19, incorrect Certificate of Service).</w:t>
      </w:r>
    </w:p>
    <w:p>
      <w:r>
        <w:t>Any settlement must provide immediate relief – not only future compensation, but restoration of access to UIF benefits, correction of statutory documents, and support for professional reinstatement.</w:t>
      </w:r>
    </w:p>
    <w:p>
      <w:pPr>
        <w:pStyle w:val="Heading1"/>
      </w:pPr>
      <w:r>
        <w:t>3. The Employer’s Position – Anticipated Arguments and Responses</w:t>
      </w:r>
      <w:bookmarkStart w:name="_Toc003" w:id="3"/>
      <w:bookmarkEnd w:id="3"/>
    </w:p>
    <w:p>
      <w:pPr>
        <w:pStyle w:val="Heading2"/>
      </w:pPr>
      <w:r>
        <w:t>3.1 “The Matter Is Before the Courts”</w:t>
      </w:r>
    </w:p>
    <w:p>
      <w:r>
        <w:t>Response: The parliamentary submission concerns governance failures and regulatory capture – matters no court is adjudicating. The Labour Court will decide the employment dispute. Parliament will decide why 15 institutions failed. These are separate and complementary.</w:t>
      </w:r>
    </w:p>
    <w:p>
      <w:pPr>
        <w:pStyle w:val="Heading2"/>
      </w:pPr>
      <w:r>
        <w:t>3.2 “The Whistleblower Is Extorting the Company”</w:t>
      </w:r>
    </w:p>
    <w:p>
      <w:r>
        <w:t>Response: The quantified damages schedule (R7,307,642.72) was provided at the employer’s own request (Deneys’ 15 April 2026 letter complained the demand was “unquantified”). A damages schedule is not extortion – it is a standard legal practice. The employer’s characterisation of this as extortion was used to obtain an ex parte interdict on a false premise.</w:t>
      </w:r>
    </w:p>
    <w:p>
      <w:pPr>
        <w:pStyle w:val="Heading2"/>
      </w:pPr>
      <w:r>
        <w:t>3.3 “The Interdict Is Lawful and Must Be Respected”</w:t>
      </w:r>
    </w:p>
    <w:p>
      <w:r>
        <w:t>Response: The interdict was obtained after the employer’s attorneys concealed the answering affidavit – a fraud on the court. The interdict overrides Section 9 of the PDA. The complainant will not accept a settlement that leaves the gag order in place.</w:t>
      </w:r>
    </w:p>
    <w:p>
      <w:pPr>
        <w:pStyle w:val="Heading2"/>
      </w:pPr>
      <w:r>
        <w:t>3.4 “The Parliamentary Submission Is Contempt of Court”</w:t>
      </w:r>
    </w:p>
    <w:p>
      <w:r>
        <w:t>Response: Parliament is not “the public at large.” Section 56 of the Constitution guarantees the right to petition Parliament. The employer’s threat of contempt for petitioning Parliament is legally untenable and will be raised before the Legal Practice Council.</w:t>
      </w:r>
    </w:p>
    <w:p>
      <w:pPr>
        <w:pStyle w:val="Heading1"/>
      </w:pPr>
      <w:r>
        <w:t>4. The Complainant’s Negotiating Position – What Can Be Discussed</w:t>
      </w:r>
      <w:bookmarkStart w:name="_Toc004" w:id="4"/>
      <w:bookmarkEnd w:id="4"/>
    </w:p>
    <w:p>
      <w:pPr>
        <w:pStyle w:val="Heading2"/>
      </w:pPr>
      <w:r>
        <w:t>4.1 Non-Negotiable (Non-Discussable) Items</w:t>
      </w:r>
    </w:p>
    <w:p>
      <w:pPr>
        <w:spacing w:after="100"/>
        <w:ind w:left="720" w:hanging="360"/>
      </w:pPr>
      <w:r>
        <w:rPr>
          <w:color w:val="c9a84c"/>
        </w:rPr>
        <w:t xml:space="preserve">•  </w:t>
      </w:r>
      <w:r>
        <w:t>The validity of the protected disclosures – they are public interest matters and will not be retracted.</w:t>
      </w:r>
    </w:p>
    <w:p>
      <w:pPr>
        <w:spacing w:after="100"/>
        <w:ind w:left="720" w:hanging="360"/>
      </w:pPr>
      <w:r>
        <w:rPr>
          <w:color w:val="c9a84c"/>
        </w:rPr>
        <w:t xml:space="preserve">•  </w:t>
      </w:r>
      <w:r>
        <w:t>The constitutional right to petition Parliament – the parliamentary submission is not subject to negotiation.</w:t>
      </w:r>
    </w:p>
    <w:p>
      <w:pPr>
        <w:spacing w:after="100"/>
        <w:ind w:left="720" w:hanging="360"/>
      </w:pPr>
      <w:r>
        <w:rPr>
          <w:color w:val="c9a84c"/>
        </w:rPr>
        <w:t xml:space="preserve">•  </w:t>
      </w:r>
      <w:r>
        <w:t>The fraud on the court – the concealment of the answering affidavit will be raised with the Legal Practice Council and the Judge President.</w:t>
      </w:r>
    </w:p>
    <w:p>
      <w:pPr>
        <w:pStyle w:val="Heading2"/>
      </w:pPr>
      <w:r>
        <w:t>4.2 Negotiable Items (Open for Discussion)</w:t>
      </w:r>
    </w:p>
    <w:p>
      <w:pPr>
        <w:spacing w:after="100"/>
        <w:ind w:left="720" w:hanging="360"/>
      </w:pPr>
      <w:r>
        <w:rPr>
          <w:color w:val="c9a84c"/>
        </w:rPr>
        <w:t xml:space="preserve">•  </w:t>
      </w:r>
      <w:r>
        <w:t>The quantum of damages – the complainant is open to a structured settlement that addresses immediate needs (UIF, housing, professional reinstatement) and future compensation.</w:t>
      </w:r>
    </w:p>
    <w:p>
      <w:pPr>
        <w:spacing w:after="100"/>
        <w:ind w:left="720" w:hanging="360"/>
      </w:pPr>
      <w:r>
        <w:rPr>
          <w:color w:val="c9a84c"/>
        </w:rPr>
        <w:t xml:space="preserve">•  </w:t>
      </w:r>
      <w:r>
        <w:t>The correction of statutory documents – UI-19 (from “Resigned” to “Constructive Dismissal”), Certificate of Service (from “Care Coordinator” to “Case Manager / Specialist Nurse”).</w:t>
      </w:r>
    </w:p>
    <w:p>
      <w:pPr>
        <w:spacing w:after="100"/>
        <w:ind w:left="720" w:hanging="360"/>
      </w:pPr>
      <w:r>
        <w:rPr>
          <w:color w:val="c9a84c"/>
        </w:rPr>
        <w:t xml:space="preserve">•  </w:t>
      </w:r>
      <w:r>
        <w:t>The remittance of UIF contributions – June 2025 and any other outstanding contributions.</w:t>
      </w:r>
    </w:p>
    <w:p>
      <w:pPr>
        <w:spacing w:after="100"/>
        <w:ind w:left="720" w:hanging="360"/>
      </w:pPr>
      <w:r>
        <w:rPr>
          <w:color w:val="c9a84c"/>
        </w:rPr>
        <w:t xml:space="preserve">•  </w:t>
      </w:r>
      <w:r>
        <w:t>The reinstatement of professional registration – support for SANC re-registration.</w:t>
      </w:r>
    </w:p>
    <w:p>
      <w:pPr>
        <w:spacing w:after="100"/>
        <w:ind w:left="720" w:hanging="360"/>
      </w:pPr>
      <w:r>
        <w:rPr>
          <w:color w:val="c9a84c"/>
        </w:rPr>
        <w:t xml:space="preserve">•  </w:t>
      </w:r>
      <w:r>
        <w:t>The interdict – if the employer agrees to discharge the interdict, the complainant will consider a reciprocal undertaking.</w:t>
      </w:r>
    </w:p>
    <w:p>
      <w:pPr>
        <w:pStyle w:val="Heading2"/>
      </w:pPr>
      <w:r>
        <w:t>4.3 Conditions for Any Settlement</w:t>
      </w:r>
    </w:p>
    <w:p>
      <w:pPr>
        <w:numPr>
          <w:ilvl w:val="0"/>
          <w:numId w:val="1"/>
        </w:numPr>
        <w:spacing w:after="120"/>
      </w:pPr>
      <w:r>
        <w:t>Written agreement – signed by authorised representatives of all parties.</w:t>
      </w:r>
    </w:p>
    <w:p>
      <w:pPr>
        <w:numPr>
          <w:ilvl w:val="0"/>
          <w:numId w:val="1"/>
        </w:numPr>
        <w:spacing w:after="120"/>
      </w:pPr>
      <w:r>
        <w:t>Immediate relief – UIF access, correction of statutory documents, and financial support for basic needs.</w:t>
      </w:r>
    </w:p>
    <w:p>
      <w:pPr>
        <w:numPr>
          <w:ilvl w:val="0"/>
          <w:numId w:val="1"/>
        </w:numPr>
        <w:spacing w:after="120"/>
      </w:pPr>
      <w:r>
        <w:t>Discharge of the interdict – or a formal undertaking that the employer will not seek to enforce it.</w:t>
      </w:r>
    </w:p>
    <w:p>
      <w:pPr>
        <w:numPr>
          <w:ilvl w:val="0"/>
          <w:numId w:val="1"/>
        </w:numPr>
        <w:spacing w:after="120"/>
      </w:pPr>
      <w:r>
        <w:t>Confidentiality clause – if requested, the complainant will consider a confidentiality clause that does not prevent him from: (a) continuing his parliamentary submission (which is a matter of public record); (b) co-operating with regulatory bodies (CMS, SANC, B-BBEE, JSE, FSCA); (c) giving evidence in any proceedings.</w:t>
      </w:r>
    </w:p>
    <w:p>
      <w:pPr>
        <w:pStyle w:val="Heading1"/>
      </w:pPr>
      <w:r>
        <w:t>5. The Parliamentary Submission – A Factor in Negotiations</w:t>
      </w:r>
      <w:bookmarkStart w:name="_Toc005" w:id="5"/>
      <w:bookmarkEnd w:id="5"/>
    </w:p>
    <w:p>
      <w:r>
        <w:t>The complainant has prepared a Consolidated Forensic Oversight Report for the National Assembly, documenting the failure of 15 institutions. This submission is complete and ready for tabling.</w:t>
      </w:r>
    </w:p>
    <w:tbl>
      <w:tblPr>
        <w:tblW w:w="5000" w:type="pct"/>
        <w:tblBorders>
          <w:top w:val="single" w:color="1a2644" w:sz="12"/>
          <w:left w:val="nil"/>
          <w:bottom w:val="single" w:color="1a2644" w:sz="12"/>
          <w:right w:val="nil"/>
          <w:insideH w:val="single" w:color="d9d4c9" w:sz="4"/>
          <w:insideV w:val="single" w:color="d9d4c9" w:sz="4"/>
        </w:tblBorders>
      </w:tblPr>
      <w:tblGrid>
        <w:gridCol w:w="5000"/>
        <w:gridCol w:w="5000"/>
      </w:tblGrid>
      <w:tr>
        <w:trPr>
          <w:tblHeader/>
        </w:trPr>
        <w:tc>
          <w:tcPr>
            <w:tcW w:w="5000" w:type="auto"/>
            <w:shd w:val="clear" w:fill="f0efe9"/>
          </w:tcPr>
          <w:p>
            <w:pPr>
              <w:spacing w:before="80" w:after="80"/>
              <w:jc w:val="center"/>
            </w:pPr>
            <w:r>
              <w:rPr>
                <w:b/>
                <w:color w:val="1a2644"/>
                <w:sz w:val="20"/>
              </w:rPr>
              <w:t>If Resolution Is Reached</w:t>
            </w:r>
          </w:p>
        </w:tc>
        <w:tc>
          <w:tcPr>
            <w:tcW w:w="5000" w:type="auto"/>
            <w:shd w:val="clear" w:fill="f0efe9"/>
          </w:tcPr>
          <w:p>
            <w:pPr>
              <w:spacing w:before="80" w:after="80"/>
              <w:jc w:val="center"/>
            </w:pPr>
            <w:r>
              <w:rPr>
                <w:b/>
                <w:color w:val="1a2644"/>
                <w:sz w:val="20"/>
              </w:rPr>
              <w:t>If No Resolution Is Reached</w:t>
            </w:r>
          </w:p>
        </w:tc>
      </w:tr>
      <w:tr>
        <w:tc>
          <w:tcPr>
            <w:tcW w:w="5000" w:type="auto"/>
          </w:tcPr>
          <w:p>
            <w:pPr>
              <w:spacing w:before="60" w:after="60"/>
            </w:pPr>
            <w:r>
              <w:rPr>
                <w:color w:val="2c2c2c"/>
                <w:sz w:val="20"/>
              </w:rPr>
              <w:t>The complainant may agree to delay tabling or to present a redacted version.</w:t>
            </w:r>
          </w:p>
        </w:tc>
        <w:tc>
          <w:tcPr>
            <w:tcW w:w="5000" w:type="auto"/>
          </w:tcPr>
          <w:p>
            <w:pPr>
              <w:spacing w:before="60" w:after="60"/>
            </w:pPr>
            <w:r>
              <w:rPr>
                <w:color w:val="2c2c2c"/>
                <w:sz w:val="20"/>
              </w:rPr>
              <w:t>The full submission will be tabled, including all evidence of regulatory capture, judicial obstruction, and corporate misrepresentation.</w:t>
            </w:r>
          </w:p>
        </w:tc>
      </w:tr>
      <w:tr>
        <w:tc>
          <w:tcPr>
            <w:tcW w:w="5000" w:type="auto"/>
          </w:tcPr>
          <w:p>
            <w:pPr>
              <w:spacing w:before="60" w:after="60"/>
            </w:pPr>
            <w:r>
              <w:rPr>
                <w:color w:val="2c2c2c"/>
                <w:sz w:val="20"/>
              </w:rPr>
              <w:t>The complainant may withdraw the submission entirely if a comprehensive settlement is reached.</w:t>
            </w:r>
          </w:p>
        </w:tc>
        <w:tc>
          <w:tcPr>
            <w:tcW w:w="5000" w:type="auto"/>
          </w:tcPr>
          <w:p>
            <w:pPr>
              <w:spacing w:before="60" w:after="60"/>
            </w:pPr>
            <w:r>
              <w:rPr>
                <w:color w:val="2c2c2c"/>
                <w:sz w:val="20"/>
              </w:rPr>
              <w:t>The submission is irrevocable once tabled.</w:t>
            </w:r>
          </w:p>
        </w:tc>
      </w:tr>
    </w:tbl>
    <w:p>
      <w:r>
        <w:t>The employer must understand: once the evidentiary bundle is lodged with Parliament, the oversight process cannot be withdrawn.</w:t>
      </w:r>
    </w:p>
    <w:p>
      <w:pPr>
        <w:pStyle w:val="Heading1"/>
      </w:pPr>
      <w:r>
        <w:t>6. Key Documents to Refer to During the Meeting</w:t>
      </w:r>
      <w:bookmarkStart w:name="_Toc006" w:id="6"/>
      <w:bookmarkEnd w:id="6"/>
    </w:p>
    <w:tbl>
      <w:tblPr>
        <w:tblW w:w="5000" w:type="pct"/>
        <w:tblBorders>
          <w:top w:val="single" w:color="1a2644" w:sz="12"/>
          <w:left w:val="nil"/>
          <w:bottom w:val="single" w:color="1a2644" w:sz="12"/>
          <w:right w:val="nil"/>
          <w:insideH w:val="single" w:color="d9d4c9" w:sz="4"/>
          <w:insideV w:val="nil"/>
        </w:tblBorders>
      </w:tblPr>
      <w:tblGrid>
        <w:gridCol w:w="4000"/>
        <w:gridCol w:w="6000"/>
      </w:tblGrid>
      <w:tr>
        <w:trPr>
          <w:tblHeader/>
        </w:trPr>
        <w:tc>
          <w:tcPr>
            <w:tcW w:w="4000" w:type="auto"/>
            <w:shd w:val="clear" w:fill="f0efe9"/>
          </w:tcPr>
          <w:p>
            <w:pPr>
              <w:spacing w:before="60" w:after="60"/>
            </w:pPr>
            <w:r>
              <w:rPr>
                <w:b/>
                <w:color w:val="1a2644"/>
                <w:sz w:val="20"/>
              </w:rPr>
              <w:t>Document</w:t>
            </w:r>
          </w:p>
        </w:tc>
        <w:tc>
          <w:tcPr>
            <w:tcW w:w="6000" w:type="auto"/>
            <w:shd w:val="clear" w:fill="f0efe9"/>
          </w:tcPr>
          <w:p>
            <w:pPr>
              <w:spacing w:before="60" w:after="60"/>
            </w:pPr>
            <w:r>
              <w:rPr>
                <w:b/>
                <w:color w:val="1a2644"/>
                <w:sz w:val="20"/>
              </w:rPr>
              <w:t>Purpose</w:t>
            </w:r>
          </w:p>
        </w:tc>
      </w:tr>
      <w:tr>
        <w:tc>
          <w:tcPr>
            <w:tcW w:w="4000" w:type="auto"/>
          </w:tcPr>
          <w:p>
            <w:pPr>
              <w:spacing w:before="60" w:after="60"/>
            </w:pPr>
            <w:r>
              <w:rPr>
                <w:color w:val="2c2c2c"/>
                <w:sz w:val="20"/>
              </w:rPr>
              <w:t>Root Cause Analysis (VICT1) – Gexus-DMS integration gap</w:t>
            </w:r>
          </w:p>
        </w:tc>
        <w:tc>
          <w:tcPr>
            <w:tcW w:w="6000" w:type="auto"/>
          </w:tcPr>
          <w:p>
            <w:pPr>
              <w:spacing w:before="60" w:after="60"/>
            </w:pPr>
            <w:r>
              <w:rPr>
                <w:color w:val="2c2c2c"/>
                <w:sz w:val="20"/>
              </w:rPr>
              <w:t>Proves the protected disclosure was valid</w:t>
            </w:r>
          </w:p>
        </w:tc>
      </w:tr>
      <w:tr>
        <w:tc>
          <w:tcPr>
            <w:tcW w:w="4000" w:type="auto"/>
          </w:tcPr>
          <w:p>
            <w:pPr>
              <w:spacing w:before="60" w:after="60"/>
            </w:pPr>
            <w:r>
              <w:rPr>
                <w:color w:val="2c2c2c"/>
                <w:sz w:val="20"/>
              </w:rPr>
              <w:t>Payslip (PS2) – 40.47% deduction</w:t>
            </w:r>
          </w:p>
        </w:tc>
        <w:tc>
          <w:tcPr>
            <w:tcW w:w="6000" w:type="auto"/>
          </w:tcPr>
          <w:p>
            <w:pPr>
              <w:spacing w:before="60" w:after="60"/>
            </w:pPr>
            <w:r>
              <w:rPr>
                <w:color w:val="2c2c2c"/>
                <w:sz w:val="20"/>
              </w:rPr>
              <w:t>Proves BCEA Section 34(2) violation</w:t>
            </w:r>
          </w:p>
        </w:tc>
      </w:tr>
      <w:tr>
        <w:tc>
          <w:tcPr>
            <w:tcW w:w="4000" w:type="auto"/>
          </w:tcPr>
          <w:p>
            <w:pPr>
              <w:spacing w:before="60" w:after="60"/>
            </w:pPr>
            <w:r>
              <w:rPr>
                <w:color w:val="2c2c2c"/>
                <w:sz w:val="20"/>
              </w:rPr>
              <w:t>CRO suppression email (18 Dec 2025)</w:t>
            </w:r>
          </w:p>
        </w:tc>
        <w:tc>
          <w:tcPr>
            <w:tcW w:w="6000" w:type="auto"/>
          </w:tcPr>
          <w:p>
            <w:pPr>
              <w:spacing w:before="60" w:after="60"/>
            </w:pPr>
            <w:r>
              <w:rPr>
                <w:color w:val="2c2c2c"/>
                <w:sz w:val="20"/>
              </w:rPr>
              <w:t>Proves active suppression of risk report</w:t>
            </w:r>
          </w:p>
        </w:tc>
      </w:tr>
      <w:tr>
        <w:tc>
          <w:tcPr>
            <w:tcW w:w="4000" w:type="auto"/>
          </w:tcPr>
          <w:p>
            <w:pPr>
              <w:spacing w:before="60" w:after="60"/>
            </w:pPr>
            <w:r>
              <w:rPr>
                <w:color w:val="2c2c2c"/>
                <w:sz w:val="20"/>
              </w:rPr>
              <w:t>Deneys 4 June 2026 letter – threat of contempt</w:t>
            </w:r>
          </w:p>
        </w:tc>
        <w:tc>
          <w:tcPr>
            <w:tcW w:w="6000" w:type="auto"/>
          </w:tcPr>
          <w:p>
            <w:pPr>
              <w:spacing w:before="60" w:after="60"/>
            </w:pPr>
            <w:r>
              <w:rPr>
                <w:color w:val="2c2c2c"/>
                <w:sz w:val="20"/>
              </w:rPr>
              <w:t>Proves attempt to block parliamentary oversight</w:t>
            </w:r>
          </w:p>
        </w:tc>
      </w:tr>
      <w:tr>
        <w:tc>
          <w:tcPr>
            <w:tcW w:w="4000" w:type="auto"/>
          </w:tcPr>
          <w:p>
            <w:pPr>
              <w:spacing w:before="60" w:after="60"/>
            </w:pPr>
            <w:r>
              <w:rPr>
                <w:color w:val="2c2c2c"/>
                <w:sz w:val="20"/>
              </w:rPr>
              <w:t>“Good luck to you then” email (2 June 2026)</w:t>
            </w:r>
          </w:p>
        </w:tc>
        <w:tc>
          <w:tcPr>
            <w:tcW w:w="6000" w:type="auto"/>
          </w:tcPr>
          <w:p>
            <w:pPr>
              <w:spacing w:before="60" w:after="60"/>
            </w:pPr>
            <w:r>
              <w:rPr>
                <w:color w:val="2c2c2c"/>
                <w:sz w:val="20"/>
              </w:rPr>
              <w:t>Proves bad faith litigation conduct</w:t>
            </w:r>
          </w:p>
        </w:tc>
      </w:tr>
      <w:tr>
        <w:tc>
          <w:tcPr>
            <w:tcW w:w="4000" w:type="auto"/>
          </w:tcPr>
          <w:p>
            <w:pPr>
              <w:spacing w:before="60" w:after="60"/>
            </w:pPr>
            <w:r>
              <w:rPr>
                <w:color w:val="2c2c2c"/>
                <w:sz w:val="20"/>
              </w:rPr>
              <w:t>Consolidated Forensic Oversight Report</w:t>
            </w:r>
          </w:p>
        </w:tc>
        <w:tc>
          <w:tcPr>
            <w:tcW w:w="6000" w:type="auto"/>
          </w:tcPr>
          <w:p>
            <w:pPr>
              <w:spacing w:before="60" w:after="60"/>
            </w:pPr>
            <w:r>
              <w:rPr>
                <w:color w:val="2c2c2c"/>
                <w:sz w:val="20"/>
              </w:rPr>
              <w:t>The parliamentary submission – complete and ready for tabling</w:t>
            </w:r>
          </w:p>
        </w:tc>
      </w:tr>
    </w:tbl>
    <w:p>
      <w:pPr>
        <w:pStyle w:val="Heading1"/>
      </w:pPr>
      <w:r>
        <w:t>7. The Complainant’s Objectives for the Meeting</w:t>
      </w:r>
      <w:bookmarkStart w:name="_Toc007" w:id="7"/>
      <w:bookmarkEnd w:id="7"/>
    </w:p>
    <w:p>
      <w:pPr>
        <w:numPr>
          <w:ilvl w:val="0"/>
          <w:numId w:val="1"/>
        </w:numPr>
        <w:spacing w:after="120"/>
      </w:pPr>
      <w:r>
        <w:t>Establish the employer’s genuine intent – is this a good faith attempt at resolution, or another attrition tactic?</w:t>
      </w:r>
    </w:p>
    <w:p>
      <w:pPr>
        <w:numPr>
          <w:ilvl w:val="0"/>
          <w:numId w:val="1"/>
        </w:numPr>
        <w:spacing w:after="120"/>
      </w:pPr>
      <w:r>
        <w:t>Secure immediate relief – UIF access, correction of statutory documents, and basic financial support to prevent further destitution.</w:t>
      </w:r>
    </w:p>
    <w:p>
      <w:pPr>
        <w:numPr>
          <w:ilvl w:val="0"/>
          <w:numId w:val="1"/>
        </w:numPr>
        <w:spacing w:after="120"/>
      </w:pPr>
      <w:r>
        <w:t>Address the interdict – the gag order must be discharged or significantly narrowed.</w:t>
      </w:r>
    </w:p>
    <w:p>
      <w:pPr>
        <w:numPr>
          <w:ilvl w:val="0"/>
          <w:numId w:val="1"/>
        </w:numPr>
        <w:spacing w:after="120"/>
      </w:pPr>
      <w:r>
        <w:t>Determine whether a comprehensive settlement is possible – if not, the parliamentary submission will proceed.</w:t>
      </w:r>
    </w:p>
    <w:p>
      <w:r>
        <w:t>The complainant is not attending the meeting to “negotiate away” his rights. He is attending to determine whether the employer is prepared to offer a resolution that addresses the systemic harms documented in this report.</w:t>
      </w:r>
    </w:p>
    <w:p>
      <w:pPr>
        <w:pStyle w:val="Heading1"/>
      </w:pPr>
      <w:r>
        <w:t>8. Escalation Pathway – If the Meeting Fails</w:t>
      </w:r>
      <w:bookmarkStart w:name="_Toc008" w:id="8"/>
      <w:bookmarkEnd w:id="8"/>
    </w:p>
    <w:p>
      <w:r>
        <w:t>If the employer does not accept the preconditions, or if the meeting is not convened by 27 June 2026, or if the meeting does not result in a meaningful resolution:</w:t>
      </w:r>
    </w:p>
    <w:p>
      <w:pPr>
        <w:numPr>
          <w:ilvl w:val="0"/>
          <w:numId w:val="1"/>
        </w:numPr>
        <w:spacing w:after="120"/>
      </w:pPr>
      <w:r>
        <w:t>The parliamentary submission will be tabled immediately.</w:t>
      </w:r>
    </w:p>
    <w:p>
      <w:pPr>
        <w:numPr>
          <w:ilvl w:val="0"/>
          <w:numId w:val="1"/>
        </w:numPr>
        <w:spacing w:after="120"/>
      </w:pPr>
      <w:r>
        <w:t>The Unilateral Pre-Trial Minute will proceed – the employer’s bad faith litigation conduct will be placed before the Labour Court.</w:t>
      </w:r>
    </w:p>
    <w:p>
      <w:pPr>
        <w:numPr>
          <w:ilvl w:val="0"/>
          <w:numId w:val="1"/>
        </w:numPr>
        <w:spacing w:after="120"/>
      </w:pPr>
      <w:r>
        <w:t>The Legal Practice Council complaint will be finalised – regarding the concealment of the answering affidavit, the threat of contempt for petitioning Parliament, and the bad faith settlement tactics.</w:t>
      </w:r>
    </w:p>
    <w:p>
      <w:pPr>
        <w:numPr>
          <w:ilvl w:val="0"/>
          <w:numId w:val="1"/>
        </w:numPr>
        <w:spacing w:after="120"/>
      </w:pPr>
      <w:r>
        <w:t>The perjury referral will be submitted to the NPA – regarding the contradictory sworn statements across courts.</w:t>
      </w:r>
    </w:p>
    <w:p>
      <w:pPr>
        <w:numPr>
          <w:ilvl w:val="0"/>
          <w:numId w:val="1"/>
        </w:numPr>
        <w:spacing w:after="120"/>
      </w:pPr>
      <w:r>
        <w:t>The IPID complaint will be submitted – regarding the Delft Police Station officer who falsely claimed to be the station commander.</w:t>
      </w:r>
    </w:p>
    <w:p>
      <w:pPr>
        <w:pStyle w:val="Heading1"/>
      </w:pPr>
      <w:r>
        <w:t>9. Conclusion – The Choice Before the Employer</w:t>
      </w:r>
      <w:bookmarkStart w:name="_Toc009" w:id="9"/>
      <w:bookmarkEnd w:id="9"/>
    </w:p>
    <w:p>
      <w:r>
        <w:t>The employer has a choice:</w:t>
      </w:r>
    </w:p>
    <w:tbl>
      <w:tblPr>
        <w:tblW w:w="5000" w:type="pct"/>
        <w:tblBorders>
          <w:top w:val="single" w:color="1a2644" w:sz="12"/>
          <w:left w:val="nil"/>
          <w:bottom w:val="single" w:color="1a2644" w:sz="12"/>
          <w:right w:val="nil"/>
          <w:insideH w:val="single" w:color="d9d4c9" w:sz="4"/>
          <w:insideV w:val="single" w:color="d9d4c9" w:sz="4"/>
        </w:tblBorders>
      </w:tblPr>
      <w:tblGrid>
        <w:gridCol w:w="5000"/>
        <w:gridCol w:w="5000"/>
      </w:tblGrid>
      <w:tr>
        <w:trPr>
          <w:tblHeader/>
        </w:trPr>
        <w:tc>
          <w:tcPr>
            <w:tcW w:w="5000" w:type="auto"/>
            <w:shd w:val="clear" w:fill="f0efe9"/>
          </w:tcPr>
          <w:p>
            <w:pPr>
              <w:spacing w:before="80" w:after="80"/>
              <w:jc w:val="center"/>
            </w:pPr>
            <w:r>
              <w:rPr>
                <w:b/>
                <w:color w:val="1a2644"/>
                <w:sz w:val="20"/>
              </w:rPr>
              <w:t>Option A – Genuine Resolution</w:t>
            </w:r>
          </w:p>
        </w:tc>
        <w:tc>
          <w:tcPr>
            <w:tcW w:w="5000" w:type="auto"/>
            <w:shd w:val="clear" w:fill="f0efe9"/>
          </w:tcPr>
          <w:p>
            <w:pPr>
              <w:spacing w:before="80" w:after="80"/>
              <w:jc w:val="center"/>
            </w:pPr>
            <w:r>
              <w:rPr>
                <w:b/>
                <w:color w:val="1a2644"/>
                <w:sz w:val="20"/>
              </w:rPr>
              <w:t>Option B – Continued Attrition</w:t>
            </w:r>
          </w:p>
        </w:tc>
      </w:tr>
      <w:tr>
        <w:tc>
          <w:tcPr>
            <w:tcW w:w="5000" w:type="auto"/>
          </w:tcPr>
          <w:p>
            <w:pPr>
              <w:spacing w:before="60" w:after="60"/>
            </w:pPr>
            <w:r>
              <w:rPr>
                <w:color w:val="2c2c2c"/>
                <w:sz w:val="20"/>
              </w:rPr>
              <w:t>Provide immediate relief, correct statutory documents, address the interdict, and negotiate a fair settlement.</w:t>
            </w:r>
          </w:p>
        </w:tc>
        <w:tc>
          <w:tcPr>
            <w:tcW w:w="5000" w:type="auto"/>
          </w:tcPr>
          <w:p>
            <w:pPr>
              <w:spacing w:before="60" w:after="60"/>
            </w:pPr>
            <w:r>
              <w:rPr>
                <w:color w:val="2c2c2c"/>
                <w:sz w:val="20"/>
              </w:rPr>
              <w:t>Continue to delay, obstruct, and exhaust the whistleblower through litigation attrition.</w:t>
            </w:r>
          </w:p>
        </w:tc>
      </w:tr>
      <w:tr>
        <w:tc>
          <w:tcPr>
            <w:tcW w:w="5000" w:type="auto"/>
          </w:tcPr>
          <w:p>
            <w:pPr>
              <w:spacing w:before="60" w:after="60"/>
            </w:pPr>
            <w:r>
              <w:rPr>
                <w:color w:val="2c2c2c"/>
                <w:sz w:val="20"/>
              </w:rPr>
              <w:t>Outcome: The parliamentary submission may be delayed, redacted, or withdrawn.</w:t>
            </w:r>
          </w:p>
        </w:tc>
        <w:tc>
          <w:tcPr>
            <w:tcW w:w="5000" w:type="auto"/>
          </w:tcPr>
          <w:p>
            <w:pPr>
              <w:spacing w:before="60" w:after="60"/>
            </w:pPr>
            <w:r>
              <w:rPr>
                <w:color w:val="2c2c2c"/>
                <w:sz w:val="20"/>
              </w:rPr>
              <w:t>Outcome: The parliamentary submission is tabled. The forensic evidence becomes public. The Legal Practice Council, NPA, and IPID complaints proceed.</w:t>
            </w:r>
          </w:p>
        </w:tc>
      </w:tr>
      <w:tr>
        <w:tc>
          <w:tcPr>
            <w:tcW w:w="5000" w:type="auto"/>
          </w:tcPr>
          <w:p>
            <w:pPr>
              <w:spacing w:before="60" w:after="60"/>
            </w:pPr>
            <w:r>
              <w:rPr>
                <w:color w:val="2c2c2c"/>
                <w:sz w:val="20"/>
              </w:rPr>
              <w:t>Cost: Financial settlement – quantifiable and bounded.</w:t>
            </w:r>
          </w:p>
        </w:tc>
        <w:tc>
          <w:tcPr>
            <w:tcW w:w="5000" w:type="auto"/>
          </w:tcPr>
          <w:p>
            <w:pPr>
              <w:spacing w:before="60" w:after="60"/>
            </w:pPr>
            <w:r>
              <w:rPr>
                <w:color w:val="2c2c2c"/>
                <w:sz w:val="20"/>
              </w:rPr>
              <w:t>Cost: Reputational collapse, regulatory exposure, and potential criminal and professional consequences.</w:t>
            </w:r>
          </w:p>
        </w:tc>
      </w:tr>
    </w:tbl>
    <w:p>
      <w:r>
        <w:t>The complainant is prepared to settle if the employer demonstrates genuine intent. But he is equally prepared to proceed with the parliamentary submission and the litigation if the employer continues its attrition strategy.</w:t>
      </w:r>
    </w:p>
    <w:p>
      <w:r>
        <w:t>The choice is the employer’s.</w:t>
      </w:r>
    </w:p>
    <w:p>
      <w:pPr>
        <w:spacing w:before="600"/>
      </w:pPr>
    </w:p>
    <w:p>
      <w:pPr>
        <w:jc w:val="left"/>
      </w:pPr>
      <w:r>
        <w:rPr>
          <w:b/>
          <w:color w:val="5a5a5a"/>
          <w:sz w:val="20"/>
        </w:rPr>
        <w:t>Prepared by: </w:t>
      </w:r>
      <w:r>
        <w:rPr>
          <w:color w:val="2c2c2c"/>
          <w:sz w:val="20"/>
        </w:rPr>
        <w:t>Wilbur William Matthee</w:t>
      </w:r>
    </w:p>
    <w:p>
      <w:pPr>
        <w:jc w:val="left"/>
      </w:pPr>
      <w:r>
        <w:rPr>
          <w:color w:val="8a8a8a"/>
          <w:sz w:val="20"/>
        </w:rPr>
        <w:t>17 June 2026  |  info@ethichawks.co.za  |  069 635 1435</w:t>
      </w:r>
    </w:p>
    <w:p>
      <w:pPr>
        <w:spacing w:before="200"/>
      </w:pPr>
      <w:r>
        <w:rPr>
          <w:i/>
          <w:color w:val="8a8a8a"/>
          <w:sz w:val="18"/>
        </w:rPr>
        <w:t>This brief is for the complainant’s personal use during the round table meeting. It should not be shared with the employer or its representatives unless explicitly authorised.</w:t>
      </w:r>
    </w:p>
    <w:p>
      <w:pPr>
        <w:sectPr>
          <w:headerReference w:type="default" r:id="R0bd55c6916af4314"/>
          <w:footerReference w:type="default" r:id="R40f238418ce04655"/>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ackBg"/>
            <wp:cNvGraphicFramePr>
              <a:graphicFrameLocks noChangeAspect="1"/>
            </wp:cNvGraphicFramePr>
            <a:graphic>
              <a:graphicData uri="http://schemas.openxmlformats.org/drawingml/2006/picture">
                <pic:pic>
                  <pic:nvPicPr>
                    <pic:cNvPr id="0" name="BackBg.png"/>
                    <pic:cNvPicPr/>
                  </pic:nvPicPr>
                  <pic:blipFill>
                    <a:blip r:embed="Re585bb0d59164c64"/>
                    <a:stretch>
                      <a:fillRect/>
                    </a:stretch>
                  </pic:blipFill>
                  <pic:spPr>
                    <a:xfrm>
                      <a:off x="0" y="0"/>
                      <a:ext cx="7560000" cy="10692000"/>
                    </a:xfrm>
                    <a:prstGeom prst="rect"/>
                  </pic:spPr>
                </pic:pic>
              </a:graphicData>
            </a:graphic>
          </wp:anchor>
        </w:drawing>
      </w:r>
    </w:p>
    <w:p>
      <w:pPr>
        <w:spacing w:before="6000"/>
        <w:jc w:val="center"/>
      </w:pPr>
      <w:r>
        <w:rPr>
          <w:color w:val="8a8a8a"/>
          <w:sz w:val="16"/>
        </w:rPr>
        <w:t>Without Prejudice</w:t>
      </w:r>
    </w:p>
    <w:p>
      <w:pPr>
        <w:spacing w:before="600"/>
        <w:jc w:val="center"/>
      </w:pPr>
      <w:r>
        <w:rPr>
          <w:rFonts w:ascii="Cambria" w:hAnsi="Cambria"/>
          <w:b/>
          <w:color w:val="1a2644"/>
          <w:sz w:val="28"/>
        </w:rPr>
        <w:t>Wilbur William Matthee</w:t>
      </w:r>
    </w:p>
    <w:p>
      <w:pPr>
        <w:spacing w:before="200"/>
        <w:jc w:val="center"/>
      </w:pPr>
      <w:r>
        <w:rPr>
          <w:color w:val="5a5a5a"/>
          <w:sz w:val="20"/>
        </w:rPr>
        <w:t>Self-Represented Complainant / Whistleblower</w:t>
      </w:r>
    </w:p>
    <w:p>
      <w:pPr>
        <w:spacing w:before="400"/>
        <w:jc w:val="center"/>
      </w:pPr>
      <w:r>
        <w:rPr>
          <w:color w:val="c9a84c"/>
          <w:sz w:val="18"/>
        </w:rPr>
        <w:t>———  ✦  ———</w:t>
      </w:r>
    </w:p>
    <w:p>
      <w:pPr>
        <w:spacing w:before="600"/>
        <w:jc w:val="center"/>
      </w:pPr>
      <w:r>
        <w:rPr>
          <w:color w:val="8a8a8a"/>
          <w:sz w:val="18"/>
        </w:rPr>
        <w:t>info@ethichawks.co.za</w:t>
      </w:r>
    </w:p>
    <w:p>
      <w:pPr>
        <w:spacing w:before="60"/>
        <w:jc w:val="center"/>
      </w:pPr>
      <w:r>
        <w:rPr>
          <w:color w:val="8a8a8a"/>
          <w:sz w:val="18"/>
        </w:rPr>
        <w:t>069 635 1435</w:t>
      </w:r>
    </w:p>
    <w:p>
      <w:pPr>
        <w:spacing w:before="2400"/>
        <w:jc w:val="center"/>
      </w:pPr>
      <w:r>
        <w:rPr>
          <w:color w:val="8a8a8a"/>
          <w:sz w:val="16"/>
        </w:rPr>
        <w:t>© 2026  |  All rights reserved</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8a8a8a"/>
        <w:sz w:val="16"/>
      </w:rPr>
      <w:fldChar w:fldCharType="begin"/>
    </w:r>
    <w:r>
      <w:rPr>
        <w:color w:val="8a8a8a"/>
        <w:sz w:val="16"/>
      </w:rPr>
      <w:instrText xml:space="preserve"> PAGE </w:instrText>
    </w:r>
    <w:r>
      <w:rPr>
        <w:color w:val="8a8a8a"/>
        <w:sz w:val="16"/>
      </w:rPr>
      <w:fldChar w:fldCharType="separate"/>
    </w:r>
    <w:r>
      <w:rPr>
        <w:color w:val="8a8a8a"/>
        <w:sz w:val="16"/>
      </w:rPr>
      <w:t>1</w:t>
    </w:r>
    <w:r>
      <w:rPr>
        <w:color w:val="8a8a8a"/>
        <w:sz w:val="16"/>
      </w:rPr>
      <w:fldChar w:fldCharType="end"/>
    </w:r>
    <w:r>
      <w:rPr>
        <w:color w:val="8a8a8a"/>
        <w:sz w:val="16"/>
      </w:rPr>
      <w:t xml:space="preserve"> / </w:t>
    </w:r>
    <w:r>
      <w:rPr>
        <w:color w:val="8a8a8a"/>
        <w:sz w:val="16"/>
      </w:rPr>
      <w:fldChar w:fldCharType="begin"/>
    </w:r>
    <w:r>
      <w:rPr>
        <w:color w:val="8a8a8a"/>
        <w:sz w:val="16"/>
      </w:rPr>
      <w:instrText xml:space="preserve"> NUMPAGES </w:instrText>
    </w:r>
    <w:r>
      <w:rPr>
        <w:color w:val="8a8a8a"/>
        <w:sz w:val="16"/>
      </w:rPr>
      <w:fldChar w:fldCharType="separate"/>
    </w:r>
    <w:r>
      <w:rPr>
        <w:color w:val="8a8a8a"/>
        <w:sz w:val="16"/>
      </w:rPr>
      <w:t>1</w:t>
    </w:r>
    <w:r>
      <w:rPr>
        <w:color w:val="8a8a8a"/>
        <w:sz w:val="16"/>
      </w:rPr>
      <w:fldChar w:fldCharType="end"/>
    </w:r>
  </w:p>
</w:ftr>
</file>

<file path=word/header1.xml><?xml version="1.0" encoding="utf-8"?>
<w:hdr xmlns:w="http://schemas.openxmlformats.org/wordprocessingml/2006/main">
  <w:p>
    <w:pPr>
      <w:jc w:val="right"/>
    </w:pPr>
    <w:r>
      <w:rPr>
        <w:rFonts w:ascii="Cambria" w:hAnsi="Cambria"/>
        <w:color w:val="8a8a8a"/>
        <w:sz w:val="16"/>
      </w:rPr>
      <w:t>Round Table Meeting – Brief for Representation | Without Prejudice</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80" w:line="288" w:lineRule="auto"/>
    </w:pPr>
    <w:rPr>
      <w:rFonts w:ascii="Cambria" w:hAnsi="Cambria" w:eastAsia="Microsoft YaHei"/>
      <w:color w:val="2c2c2c"/>
      <w:sz w:val="22"/>
    </w:rPr>
  </w:style>
  <w:style w:type="paragraph" w:styleId="Heading1">
    <w:name w:val="heading 1"/>
    <w:basedOn w:val="Normal"/>
    <w:pPr>
      <w:keepNext/>
      <w:keepLines/>
      <w:spacing w:before="480" w:after="200"/>
      <w:outlineLvl w:val="0"/>
    </w:pPr>
    <w:rPr>
      <w:rFonts w:ascii="Cambria" w:hAnsi="Cambria" w:eastAsia="Microsoft YaHei"/>
      <w:b/>
      <w:color w:val="1a2644"/>
      <w:sz w:val="32"/>
    </w:rPr>
  </w:style>
  <w:style w:type="paragraph" w:styleId="Heading2">
    <w:name w:val="heading 2"/>
    <w:basedOn w:val="Normal"/>
    <w:pPr>
      <w:keepNext/>
      <w:keepLines/>
      <w:spacing w:before="320" w:after="140"/>
      <w:outlineLvl w:val="1"/>
    </w:pPr>
    <w:rPr>
      <w:rFonts w:ascii="Cambria" w:hAnsi="Cambria" w:eastAsia="Microsoft YaHei"/>
      <w:b/>
      <w:color w:val="1a2644"/>
      <w:sz w:val="26"/>
    </w:rPr>
  </w:style>
  <w:style w:type="paragraph" w:styleId="Heading3">
    <w:name w:val="heading 3"/>
    <w:basedOn w:val="Normal"/>
    <w:pPr>
      <w:keepNext/>
      <w:keepLines/>
      <w:spacing w:before="240" w:after="100"/>
      <w:outlineLvl w:val="2"/>
    </w:pPr>
    <w:rPr>
      <w:rFonts w:ascii="Cambria" w:hAnsi="Cambria" w:eastAsia="Microsoft YaHei"/>
      <w:b/>
      <w:color w:val="5a5a5a"/>
      <w:sz w:val="23"/>
    </w:rPr>
  </w:style>
  <w:style w:type="paragraph" w:styleId="TOC1">
    <w:name w:val="toc 1"/>
    <w:basedOn w:val="Normal"/>
    <w:pPr>
      <w:tabs>
        <w:tab w:val="right" w:leader="dot" w:pos="9350"/>
      </w:tabs>
      <w:spacing w:before="200" w:after="60"/>
    </w:pPr>
    <w:rPr>
      <w:b/>
      <w:color w:val="1a2644"/>
    </w:rPr>
  </w:style>
  <w:style w:type="paragraph" w:styleId="TOC2">
    <w:name w:val="toc 2"/>
    <w:basedOn w:val="Normal"/>
    <w:pPr>
      <w:tabs>
        <w:tab w:val="right" w:leader="dot" w:pos="9350"/>
      </w:tabs>
      <w:spacing w:before="60" w:after="40"/>
      <w:ind w:left="360"/>
    </w:pPr>
    <w:rPr>
      <w:color w:val="5a5a5a"/>
    </w:rPr>
  </w:style>
</w:styles>
</file>

<file path=word/_rels/document.xml.rels><?xml version='1.0' encoding='UTF-8'?>
<Relationships xmlns="http://schemas.openxmlformats.org/package/2006/relationships"><Relationship Type="http://schemas.openxmlformats.org/officeDocument/2006/relationships/styles" Target="styles.xml" Id="Rb3cc406c8b824de5" /><Relationship Type="http://schemas.openxmlformats.org/officeDocument/2006/relationships/numbering" Target="numbering.xml" Id="R5f5d74f212c648f8" /><Relationship Type="http://schemas.openxmlformats.org/officeDocument/2006/relationships/image" Target="media/image.png" Id="Rc953450e38ce4282" /><Relationship Type="http://schemas.openxmlformats.org/officeDocument/2006/relationships/image" Target="media/image2.png" Id="Re585bb0d59164c64" /><Relationship Type="http://schemas.openxmlformats.org/officeDocument/2006/relationships/header" Target="header1.xml" Id="R0bd55c6916af4314" /><Relationship Type="http://schemas.openxmlformats.org/officeDocument/2006/relationships/footer" Target="footer1.xml" Id="R40f238418ce04655" /><Relationship Type="http://schemas.openxmlformats.org/officeDocument/2006/relationships/settings" Target="settings.xml" Id="R37d1f917bfea433a" /></Relationships>
</file>