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400"/>
        <w:jc w:val="center"/>
      </w:pPr>
      <w:r>
        <w:rPr>
          <w:rFonts w:ascii="Calibri" w:cs="Calibri" w:eastAsia="Calibri" w:hAnsi="Calibri"/>
          <w:b/>
          <w:bCs/>
          <w:color w:val="2B2D42"/>
          <w:spacing w:val="20"/>
          <w:sz w:val="28"/>
          <w:szCs w:val="28"/>
        </w:rPr>
        <w:t xml:space="preserve">ANNEXURE</w:t>
      </w: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B01010"/>
          <w:sz w:val="72"/>
          <w:szCs w:val="72"/>
        </w:rPr>
        <w:t xml:space="preserve">A1</w:t>
      </w:r>
    </w:p>
    <w:p>
      <w:pPr>
        <w:pBdr>
          <w:bottom w:val="single" w:color="C9A84C" w:sz="12"/>
        </w:pBdr>
        <w:spacing w:after="300"/>
      </w:pPr>
      <w:r>
        <w:t xml:space="preserve"/>
      </w:r>
    </w:p>
    <w:p>
      <w:pPr>
        <w:spacing w:after="400"/>
        <w:jc w:val="center"/>
      </w:pPr>
      <w:r>
        <w:rPr>
          <w:rFonts w:ascii="Calibri" w:cs="Calibri" w:eastAsia="Calibri" w:hAnsi="Calibri"/>
          <w:b/>
          <w:bCs/>
          <w:color w:val="0D1B2A"/>
          <w:sz w:val="26"/>
          <w:szCs w:val="26"/>
        </w:rPr>
        <w:t xml:space="preserve">Email from Registrar Soundy – Armstrong Documents</w:t>
      </w:r>
    </w:p>
    <w:tbl>
      <w:tblPr>
        <w:tblW w:type="dxa" w:w="100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440"/>
      </w:tblGrid>
      <w:tr>
        <w:tc>
          <w:tcPr>
            <w:tcW w:type="dxa" w:w="2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color="auto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D1B2A"/>
                <w:sz w:val="20"/>
                <w:szCs w:val="20"/>
              </w:rPr>
              <w:t xml:space="preserve">Date of Evidence:</w:t>
            </w:r>
          </w:p>
        </w:tc>
        <w:tc>
          <w:tcPr>
            <w:tcW w:type="dxa" w:w="744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color="auto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B2D42"/>
                <w:sz w:val="20"/>
                <w:szCs w:val="20"/>
              </w:rPr>
              <w:t xml:space="preserve">10 April 2026, 09:32</w:t>
            </w:r>
          </w:p>
        </w:tc>
      </w:tr>
      <w:tr>
        <w:tc>
          <w:tcPr>
            <w:tcW w:type="dxa" w:w="2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color="auto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D1B2A"/>
                <w:sz w:val="20"/>
                <w:szCs w:val="20"/>
              </w:rPr>
              <w:t xml:space="preserve">Related Complaint:</w:t>
            </w:r>
          </w:p>
        </w:tc>
        <w:tc>
          <w:tcPr>
            <w:tcW w:type="dxa" w:w="744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color="auto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B2D42"/>
                <w:sz w:val="20"/>
                <w:szCs w:val="20"/>
              </w:rPr>
              <w:t xml:space="preserve">Complaint 1 – Unauthorised Disclosure of Third-Party Special Personal Information</w:t>
            </w:r>
          </w:p>
        </w:tc>
      </w:tr>
      <w:tr>
        <w:tc>
          <w:tcPr>
            <w:tcW w:type="dxa" w:w="2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color="auto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D1B2A"/>
                <w:sz w:val="20"/>
                <w:szCs w:val="20"/>
              </w:rPr>
              <w:t xml:space="preserve">Responsible Official:</w:t>
            </w:r>
          </w:p>
        </w:tc>
        <w:tc>
          <w:tcPr>
            <w:tcW w:type="dxa" w:w="744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color="auto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B2D42"/>
                <w:sz w:val="20"/>
                <w:szCs w:val="20"/>
              </w:rPr>
              <w:t xml:space="preserve">Registrar Tsakani Soundy (TSoundy@judiciary.org.za)</w:t>
            </w:r>
          </w:p>
        </w:tc>
      </w:tr>
      <w:tr>
        <w:tc>
          <w:tcPr>
            <w:tcW w:type="dxa" w:w="2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color="auto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D1B2A"/>
                <w:sz w:val="20"/>
                <w:szCs w:val="20"/>
              </w:rPr>
              <w:t xml:space="preserve">Case Reference(s):</w:t>
            </w:r>
          </w:p>
        </w:tc>
        <w:tc>
          <w:tcPr>
            <w:tcW w:type="dxa" w:w="744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color="auto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B2D42"/>
                <w:sz w:val="20"/>
                <w:szCs w:val="20"/>
              </w:rPr>
              <w:t xml:space="preserve">2026-080903 (Armstrong v City of Cape Town); 2026-077546</w:t>
            </w:r>
          </w:p>
        </w:tc>
      </w:tr>
      <w:tr>
        <w:tc>
          <w:tcPr>
            <w:tcW w:type="dxa" w:w="2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color="auto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D1B2A"/>
                <w:sz w:val="20"/>
                <w:szCs w:val="20"/>
              </w:rPr>
              <w:t xml:space="preserve">Statutory Reference:</w:t>
            </w:r>
          </w:p>
        </w:tc>
        <w:tc>
          <w:tcPr>
            <w:tcW w:type="dxa" w:w="744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color="auto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B2D42"/>
                <w:sz w:val="20"/>
                <w:szCs w:val="20"/>
              </w:rPr>
              <w:t xml:space="preserve">POPIA Sections 8, 9, 26, 74</w:t>
            </w:r>
          </w:p>
        </w:tc>
      </w:tr>
      <w:tr>
        <w:tc>
          <w:tcPr>
            <w:tcW w:type="dxa" w:w="2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color="auto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D1B2A"/>
                <w:sz w:val="20"/>
                <w:szCs w:val="20"/>
              </w:rPr>
              <w:t xml:space="preserve">Evidence Type:</w:t>
            </w:r>
          </w:p>
        </w:tc>
        <w:tc>
          <w:tcPr>
            <w:tcW w:type="dxa" w:w="744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color="auto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B2D42"/>
                <w:sz w:val="20"/>
                <w:szCs w:val="20"/>
              </w:rPr>
              <w:t xml:space="preserve">Email correspondence with attached third-party court file</w:t>
            </w:r>
          </w:p>
        </w:tc>
      </w:tr>
    </w:tbl>
    <w:tbl>
      <w:tblPr>
        <w:tblW w:type="dxa" w:w="100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10040"/>
            <w:tcBorders>
              <w:top w:val="single" w:color="C9A84C" w:sz="8"/>
              <w:left w:val="single" w:color="C9A84C" w:sz="8"/>
              <w:bottom w:val="single" w:color="C9A84C" w:sz="8"/>
              <w:right w:val="single" w:color="C9A84C" w:sz="8"/>
            </w:tcBorders>
            <w:shd w:fill="0D1B2A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FFFFFF"/>
                <w:sz w:val="19"/>
                <w:szCs w:val="19"/>
              </w:rPr>
              <w:t xml:space="preserve">This annexure evidences the unauthorised transmission of a third party's stamped court file, including special personal information (medical and psychiatric records), to the Complainant.</w:t>
            </w:r>
          </w:p>
        </w:tc>
      </w:tr>
    </w:tbl>
    <w:p>
      <w:pPr>
        <w:spacing w:before="600"/>
      </w:pPr>
      <w:r>
        <w:t xml:space="preserve"/>
      </w:r>
    </w:p>
    <w:p>
      <w:pPr>
        <w:pBdr>
          <w:top w:val="single" w:color="AAAAAA" w:sz="6"/>
        </w:pBdr>
        <w:spacing w:after="0" w:before="200"/>
        <w:jc w:val="center"/>
      </w:pPr>
      <w:r>
        <w:rPr>
          <w:rFonts w:ascii="Calibri" w:cs="Calibri" w:eastAsia="Calibri" w:hAnsi="Calibri"/>
          <w:i/>
          <w:iCs/>
          <w:color w:val="2B2D42"/>
          <w:sz w:val="19"/>
          <w:szCs w:val="19"/>
        </w:rPr>
        <w:t xml:space="preserve">Evidence for A1 follows on the next page.</w:t>
      </w:r>
    </w:p>
    <w:p>
      <w:r>
        <w:br w:type="page"/>
      </w:r>
    </w:p>
    <w:p>
      <w:pPr>
        <w:spacing w:after="60" w:before="400"/>
        <w:jc w:val="center"/>
      </w:pPr>
      <w:r>
        <w:rPr>
          <w:rFonts w:ascii="Calibri" w:cs="Calibri" w:eastAsia="Calibri" w:hAnsi="Calibri"/>
          <w:b/>
          <w:bCs/>
          <w:color w:val="2B2D42"/>
          <w:spacing w:val="20"/>
          <w:sz w:val="28"/>
          <w:szCs w:val="28"/>
        </w:rPr>
        <w:t xml:space="preserve">ANNEXURE</w:t>
      </w: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B01010"/>
          <w:sz w:val="72"/>
          <w:szCs w:val="72"/>
        </w:rPr>
        <w:t xml:space="preserve">A2</w:t>
      </w:r>
    </w:p>
    <w:p>
      <w:pPr>
        <w:pBdr>
          <w:bottom w:val="single" w:color="C9A84C" w:sz="12"/>
        </w:pBdr>
        <w:spacing w:after="300"/>
      </w:pPr>
      <w:r>
        <w:t xml:space="preserve"/>
      </w:r>
    </w:p>
    <w:p>
      <w:pPr>
        <w:spacing w:after="400"/>
        <w:jc w:val="center"/>
      </w:pPr>
      <w:r>
        <w:rPr>
          <w:rFonts w:ascii="Calibri" w:cs="Calibri" w:eastAsia="Calibri" w:hAnsi="Calibri"/>
          <w:b/>
          <w:bCs/>
          <w:color w:val="0D1B2A"/>
          <w:sz w:val="26"/>
          <w:szCs w:val="26"/>
        </w:rPr>
        <w:t xml:space="preserve">Armstrong v City of Cape Town – Statement of Claim</w:t>
      </w:r>
    </w:p>
    <w:tbl>
      <w:tblPr>
        <w:tblW w:type="dxa" w:w="100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440"/>
      </w:tblGrid>
      <w:tr>
        <w:tc>
          <w:tcPr>
            <w:tcW w:type="dxa" w:w="2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color="auto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D1B2A"/>
                <w:sz w:val="20"/>
                <w:szCs w:val="20"/>
              </w:rPr>
              <w:t xml:space="preserve">Date of Evidence:</w:t>
            </w:r>
          </w:p>
        </w:tc>
        <w:tc>
          <w:tcPr>
            <w:tcW w:type="dxa" w:w="744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color="auto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B2D42"/>
                <w:sz w:val="20"/>
                <w:szCs w:val="20"/>
              </w:rPr>
              <w:t xml:space="preserve">10 April 2026 (received as attachment)</w:t>
            </w:r>
          </w:p>
        </w:tc>
      </w:tr>
      <w:tr>
        <w:tc>
          <w:tcPr>
            <w:tcW w:type="dxa" w:w="2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color="auto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D1B2A"/>
                <w:sz w:val="20"/>
                <w:szCs w:val="20"/>
              </w:rPr>
              <w:t xml:space="preserve">Related Complaint:</w:t>
            </w:r>
          </w:p>
        </w:tc>
        <w:tc>
          <w:tcPr>
            <w:tcW w:type="dxa" w:w="744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color="auto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B2D42"/>
                <w:sz w:val="20"/>
                <w:szCs w:val="20"/>
              </w:rPr>
              <w:t xml:space="preserve">Complaint 1 – Unauthorised Disclosure of Third-Party Special Personal Information</w:t>
            </w:r>
          </w:p>
        </w:tc>
      </w:tr>
      <w:tr>
        <w:tc>
          <w:tcPr>
            <w:tcW w:type="dxa" w:w="2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color="auto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D1B2A"/>
                <w:sz w:val="20"/>
                <w:szCs w:val="20"/>
              </w:rPr>
              <w:t xml:space="preserve">Responsible Official:</w:t>
            </w:r>
          </w:p>
        </w:tc>
        <w:tc>
          <w:tcPr>
            <w:tcW w:type="dxa" w:w="744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color="auto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B2D42"/>
                <w:sz w:val="20"/>
                <w:szCs w:val="20"/>
              </w:rPr>
              <w:t xml:space="preserve">Registrar Tsakani Soundy (TSoundy@judiciary.org.za)</w:t>
            </w:r>
          </w:p>
        </w:tc>
      </w:tr>
      <w:tr>
        <w:tc>
          <w:tcPr>
            <w:tcW w:type="dxa" w:w="2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color="auto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D1B2A"/>
                <w:sz w:val="20"/>
                <w:szCs w:val="20"/>
              </w:rPr>
              <w:t xml:space="preserve">Case Reference(s):</w:t>
            </w:r>
          </w:p>
        </w:tc>
        <w:tc>
          <w:tcPr>
            <w:tcW w:type="dxa" w:w="744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color="auto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B2D42"/>
                <w:sz w:val="20"/>
                <w:szCs w:val="20"/>
              </w:rPr>
              <w:t xml:space="preserve">2026-080903 (Armstrong v City of Cape Town)</w:t>
            </w:r>
          </w:p>
        </w:tc>
      </w:tr>
      <w:tr>
        <w:tc>
          <w:tcPr>
            <w:tcW w:type="dxa" w:w="2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color="auto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D1B2A"/>
                <w:sz w:val="20"/>
                <w:szCs w:val="20"/>
              </w:rPr>
              <w:t xml:space="preserve">Statutory Reference:</w:t>
            </w:r>
          </w:p>
        </w:tc>
        <w:tc>
          <w:tcPr>
            <w:tcW w:type="dxa" w:w="744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color="auto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B2D42"/>
                <w:sz w:val="20"/>
                <w:szCs w:val="20"/>
              </w:rPr>
              <w:t xml:space="preserve">POPIA Sections 8, 9, 26, 74</w:t>
            </w:r>
          </w:p>
        </w:tc>
      </w:tr>
      <w:tr>
        <w:tc>
          <w:tcPr>
            <w:tcW w:type="dxa" w:w="2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color="auto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D1B2A"/>
                <w:sz w:val="20"/>
                <w:szCs w:val="20"/>
              </w:rPr>
              <w:t xml:space="preserve">Evidence Type:</w:t>
            </w:r>
          </w:p>
        </w:tc>
        <w:tc>
          <w:tcPr>
            <w:tcW w:type="dxa" w:w="744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color="auto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B2D42"/>
                <w:sz w:val="20"/>
                <w:szCs w:val="20"/>
              </w:rPr>
              <w:t xml:space="preserve">Court pleading containing special personal information</w:t>
            </w:r>
          </w:p>
        </w:tc>
      </w:tr>
    </w:tbl>
    <w:tbl>
      <w:tblPr>
        <w:tblW w:type="dxa" w:w="100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10040"/>
            <w:tcBorders>
              <w:top w:val="single" w:color="C9A84C" w:sz="8"/>
              <w:left w:val="single" w:color="C9A84C" w:sz="8"/>
              <w:bottom w:val="single" w:color="C9A84C" w:sz="8"/>
              <w:right w:val="single" w:color="C9A84C" w:sz="8"/>
            </w:tcBorders>
            <w:shd w:fill="0D1B2A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FFFFFF"/>
                <w:sz w:val="19"/>
                <w:szCs w:val="19"/>
              </w:rPr>
              <w:t xml:space="preserve">This annexure is the underlying third-party document disclosed without consent, containing medical diagnosis, psychiatric reports, and confidential family circumstances.</w:t>
            </w:r>
          </w:p>
        </w:tc>
      </w:tr>
    </w:tbl>
    <w:p>
      <w:pPr>
        <w:spacing w:before="600"/>
      </w:pPr>
      <w:r>
        <w:t xml:space="preserve"/>
      </w:r>
    </w:p>
    <w:p>
      <w:pPr>
        <w:pBdr>
          <w:top w:val="single" w:color="AAAAAA" w:sz="6"/>
        </w:pBdr>
        <w:spacing w:after="0" w:before="200"/>
        <w:jc w:val="center"/>
      </w:pPr>
      <w:r>
        <w:rPr>
          <w:rFonts w:ascii="Calibri" w:cs="Calibri" w:eastAsia="Calibri" w:hAnsi="Calibri"/>
          <w:i/>
          <w:iCs/>
          <w:color w:val="2B2D42"/>
          <w:sz w:val="19"/>
          <w:szCs w:val="19"/>
        </w:rPr>
        <w:t xml:space="preserve">Evidence for A2 follows on the next page.</w:t>
      </w:r>
    </w:p>
    <w:p>
      <w:r>
        <w:br w:type="page"/>
      </w:r>
    </w:p>
    <w:p>
      <w:pPr>
        <w:spacing w:after="60" w:before="400"/>
        <w:jc w:val="center"/>
      </w:pPr>
      <w:r>
        <w:rPr>
          <w:rFonts w:ascii="Calibri" w:cs="Calibri" w:eastAsia="Calibri" w:hAnsi="Calibri"/>
          <w:b/>
          <w:bCs/>
          <w:color w:val="2B2D42"/>
          <w:spacing w:val="20"/>
          <w:sz w:val="28"/>
          <w:szCs w:val="28"/>
        </w:rPr>
        <w:t xml:space="preserve">ANNEXURE</w:t>
      </w: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B01010"/>
          <w:sz w:val="72"/>
          <w:szCs w:val="72"/>
        </w:rPr>
        <w:t xml:space="preserve">A3</w:t>
      </w:r>
    </w:p>
    <w:p>
      <w:pPr>
        <w:pBdr>
          <w:bottom w:val="single" w:color="C9A84C" w:sz="12"/>
        </w:pBdr>
        <w:spacing w:after="300"/>
      </w:pPr>
      <w:r>
        <w:t xml:space="preserve"/>
      </w:r>
    </w:p>
    <w:p>
      <w:pPr>
        <w:spacing w:after="400"/>
        <w:jc w:val="center"/>
      </w:pPr>
      <w:r>
        <w:rPr>
          <w:rFonts w:ascii="Calibri" w:cs="Calibri" w:eastAsia="Calibri" w:hAnsi="Calibri"/>
          <w:b/>
          <w:bCs/>
          <w:color w:val="0D1B2A"/>
          <w:sz w:val="26"/>
          <w:szCs w:val="26"/>
        </w:rPr>
        <w:t xml:space="preserve">Screenshot of “Ghost Notification” SMS</w:t>
      </w:r>
    </w:p>
    <w:tbl>
      <w:tblPr>
        <w:tblW w:type="dxa" w:w="100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440"/>
      </w:tblGrid>
      <w:tr>
        <w:tc>
          <w:tcPr>
            <w:tcW w:type="dxa" w:w="2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color="auto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D1B2A"/>
                <w:sz w:val="20"/>
                <w:szCs w:val="20"/>
              </w:rPr>
              <w:t xml:space="preserve">Date of Evidence:</w:t>
            </w:r>
          </w:p>
        </w:tc>
        <w:tc>
          <w:tcPr>
            <w:tcW w:type="dxa" w:w="744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color="auto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B2D42"/>
                <w:sz w:val="20"/>
                <w:szCs w:val="20"/>
              </w:rPr>
              <w:t xml:space="preserve">18 June 2026, 10:55</w:t>
            </w:r>
          </w:p>
        </w:tc>
      </w:tr>
      <w:tr>
        <w:tc>
          <w:tcPr>
            <w:tcW w:type="dxa" w:w="2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color="auto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D1B2A"/>
                <w:sz w:val="20"/>
                <w:szCs w:val="20"/>
              </w:rPr>
              <w:t xml:space="preserve">Related Complaint:</w:t>
            </w:r>
          </w:p>
        </w:tc>
        <w:tc>
          <w:tcPr>
            <w:tcW w:type="dxa" w:w="744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color="auto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B2D42"/>
                <w:sz w:val="20"/>
                <w:szCs w:val="20"/>
              </w:rPr>
              <w:t xml:space="preserve">Complaint 2 – Systemic Data Integrity Failure (“Ghost Notification” System)</w:t>
            </w:r>
          </w:p>
        </w:tc>
      </w:tr>
      <w:tr>
        <w:tc>
          <w:tcPr>
            <w:tcW w:type="dxa" w:w="2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color="auto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D1B2A"/>
                <w:sz w:val="20"/>
                <w:szCs w:val="20"/>
              </w:rPr>
              <w:t xml:space="preserve">Responsible Official:</w:t>
            </w:r>
          </w:p>
        </w:tc>
        <w:tc>
          <w:tcPr>
            <w:tcW w:type="dxa" w:w="744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color="auto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B2D42"/>
                <w:sz w:val="20"/>
                <w:szCs w:val="20"/>
              </w:rPr>
              <w:t xml:space="preserve">Director Ruanne David (RDavid@judiciary.org.za)</w:t>
            </w:r>
          </w:p>
        </w:tc>
      </w:tr>
      <w:tr>
        <w:tc>
          <w:tcPr>
            <w:tcW w:type="dxa" w:w="2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color="auto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D1B2A"/>
                <w:sz w:val="20"/>
                <w:szCs w:val="20"/>
              </w:rPr>
              <w:t xml:space="preserve">Case Reference(s):</w:t>
            </w:r>
          </w:p>
        </w:tc>
        <w:tc>
          <w:tcPr>
            <w:tcW w:type="dxa" w:w="744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color="auto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B2D42"/>
                <w:sz w:val="20"/>
                <w:szCs w:val="20"/>
              </w:rPr>
              <w:t xml:space="preserve">OCJ Portal / CaseLines automated notification system</w:t>
            </w:r>
          </w:p>
        </w:tc>
      </w:tr>
      <w:tr>
        <w:tc>
          <w:tcPr>
            <w:tcW w:type="dxa" w:w="2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color="auto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D1B2A"/>
                <w:sz w:val="20"/>
                <w:szCs w:val="20"/>
              </w:rPr>
              <w:t xml:space="preserve">Statutory Reference:</w:t>
            </w:r>
          </w:p>
        </w:tc>
        <w:tc>
          <w:tcPr>
            <w:tcW w:type="dxa" w:w="744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color="auto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B2D42"/>
                <w:sz w:val="20"/>
                <w:szCs w:val="20"/>
              </w:rPr>
              <w:t xml:space="preserve">POPIA Sections 19, 22, 74</w:t>
            </w:r>
          </w:p>
        </w:tc>
      </w:tr>
      <w:tr>
        <w:tc>
          <w:tcPr>
            <w:tcW w:type="dxa" w:w="2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color="auto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D1B2A"/>
                <w:sz w:val="20"/>
                <w:szCs w:val="20"/>
              </w:rPr>
              <w:t xml:space="preserve">Evidence Type:</w:t>
            </w:r>
          </w:p>
        </w:tc>
        <w:tc>
          <w:tcPr>
            <w:tcW w:type="dxa" w:w="744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color="auto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B2D42"/>
                <w:sz w:val="20"/>
                <w:szCs w:val="20"/>
              </w:rPr>
              <w:t xml:space="preserve">SMS screenshot</w:t>
            </w:r>
          </w:p>
        </w:tc>
      </w:tr>
    </w:tbl>
    <w:tbl>
      <w:tblPr>
        <w:tblW w:type="dxa" w:w="100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10040"/>
            <w:tcBorders>
              <w:top w:val="single" w:color="C9A84C" w:sz="8"/>
              <w:left w:val="single" w:color="C9A84C" w:sz="8"/>
              <w:bottom w:val="single" w:color="C9A84C" w:sz="8"/>
              <w:right w:val="single" w:color="C9A84C" w:sz="8"/>
            </w:tcBorders>
            <w:shd w:fill="0D1B2A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FFFFFF"/>
                <w:sz w:val="19"/>
                <w:szCs w:val="19"/>
              </w:rPr>
              <w:t xml:space="preserve">This annexure evidences an automated hearing-date notification that did not correspond to any hearing in the official court record.</w:t>
            </w:r>
          </w:p>
        </w:tc>
      </w:tr>
    </w:tbl>
    <w:p>
      <w:pPr>
        <w:spacing w:before="600"/>
      </w:pPr>
      <w:r>
        <w:t xml:space="preserve"/>
      </w:r>
    </w:p>
    <w:p>
      <w:pPr>
        <w:pBdr>
          <w:top w:val="single" w:color="AAAAAA" w:sz="6"/>
        </w:pBdr>
        <w:spacing w:after="0" w:before="200"/>
        <w:jc w:val="center"/>
      </w:pPr>
      <w:r>
        <w:rPr>
          <w:rFonts w:ascii="Calibri" w:cs="Calibri" w:eastAsia="Calibri" w:hAnsi="Calibri"/>
          <w:i/>
          <w:iCs/>
          <w:color w:val="2B2D42"/>
          <w:sz w:val="19"/>
          <w:szCs w:val="19"/>
        </w:rPr>
        <w:t xml:space="preserve">Evidence for A3 follows on the next page.</w:t>
      </w:r>
    </w:p>
    <w:p>
      <w:r>
        <w:br w:type="page"/>
      </w:r>
    </w:p>
    <w:p>
      <w:pPr>
        <w:spacing w:after="60" w:before="400"/>
        <w:jc w:val="center"/>
      </w:pPr>
      <w:r>
        <w:rPr>
          <w:rFonts w:ascii="Calibri" w:cs="Calibri" w:eastAsia="Calibri" w:hAnsi="Calibri"/>
          <w:b/>
          <w:bCs/>
          <w:color w:val="2B2D42"/>
          <w:spacing w:val="20"/>
          <w:sz w:val="28"/>
          <w:szCs w:val="28"/>
        </w:rPr>
        <w:t xml:space="preserve">ANNEXURE</w:t>
      </w: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B01010"/>
          <w:sz w:val="72"/>
          <w:szCs w:val="72"/>
        </w:rPr>
        <w:t xml:space="preserve">A4</w:t>
      </w:r>
    </w:p>
    <w:p>
      <w:pPr>
        <w:pBdr>
          <w:bottom w:val="single" w:color="C9A84C" w:sz="12"/>
        </w:pBdr>
        <w:spacing w:after="300"/>
      </w:pPr>
      <w:r>
        <w:t xml:space="preserve"/>
      </w:r>
    </w:p>
    <w:p>
      <w:pPr>
        <w:spacing w:after="400"/>
        <w:jc w:val="center"/>
      </w:pPr>
      <w:r>
        <w:rPr>
          <w:rFonts w:ascii="Calibri" w:cs="Calibri" w:eastAsia="Calibri" w:hAnsi="Calibri"/>
          <w:b/>
          <w:bCs/>
          <w:color w:val="0D1B2A"/>
          <w:sz w:val="26"/>
          <w:szCs w:val="26"/>
        </w:rPr>
        <w:t xml:space="preserve">Email from Director David Admitting System Failures</w:t>
      </w:r>
    </w:p>
    <w:tbl>
      <w:tblPr>
        <w:tblW w:type="dxa" w:w="100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440"/>
      </w:tblGrid>
      <w:tr>
        <w:tc>
          <w:tcPr>
            <w:tcW w:type="dxa" w:w="2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color="auto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D1B2A"/>
                <w:sz w:val="20"/>
                <w:szCs w:val="20"/>
              </w:rPr>
              <w:t xml:space="preserve">Date of Evidence:</w:t>
            </w:r>
          </w:p>
        </w:tc>
        <w:tc>
          <w:tcPr>
            <w:tcW w:type="dxa" w:w="744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color="auto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B2D42"/>
                <w:sz w:val="20"/>
                <w:szCs w:val="20"/>
              </w:rPr>
              <w:t xml:space="preserve">22 June 2026, 13:53</w:t>
            </w:r>
          </w:p>
        </w:tc>
      </w:tr>
      <w:tr>
        <w:tc>
          <w:tcPr>
            <w:tcW w:type="dxa" w:w="2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color="auto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D1B2A"/>
                <w:sz w:val="20"/>
                <w:szCs w:val="20"/>
              </w:rPr>
              <w:t xml:space="preserve">Related Complaint:</w:t>
            </w:r>
          </w:p>
        </w:tc>
        <w:tc>
          <w:tcPr>
            <w:tcW w:type="dxa" w:w="744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color="auto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B2D42"/>
                <w:sz w:val="20"/>
                <w:szCs w:val="20"/>
              </w:rPr>
              <w:t xml:space="preserve">Complaint 2 – Systemic Data Integrity Failure (“Ghost Notification” System)</w:t>
            </w:r>
          </w:p>
        </w:tc>
      </w:tr>
      <w:tr>
        <w:tc>
          <w:tcPr>
            <w:tcW w:type="dxa" w:w="2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color="auto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D1B2A"/>
                <w:sz w:val="20"/>
                <w:szCs w:val="20"/>
              </w:rPr>
              <w:t xml:space="preserve">Responsible Official:</w:t>
            </w:r>
          </w:p>
        </w:tc>
        <w:tc>
          <w:tcPr>
            <w:tcW w:type="dxa" w:w="744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color="auto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B2D42"/>
                <w:sz w:val="20"/>
                <w:szCs w:val="20"/>
              </w:rPr>
              <w:t xml:space="preserve">Director Ruanne David (RDavid@judiciary.org.za)</w:t>
            </w:r>
          </w:p>
        </w:tc>
      </w:tr>
      <w:tr>
        <w:tc>
          <w:tcPr>
            <w:tcW w:type="dxa" w:w="2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color="auto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D1B2A"/>
                <w:sz w:val="20"/>
                <w:szCs w:val="20"/>
              </w:rPr>
              <w:t xml:space="preserve">Case Reference(s):</w:t>
            </w:r>
          </w:p>
        </w:tc>
        <w:tc>
          <w:tcPr>
            <w:tcW w:type="dxa" w:w="744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color="auto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B2D42"/>
                <w:sz w:val="20"/>
                <w:szCs w:val="20"/>
              </w:rPr>
              <w:t xml:space="preserve">OCJ Court Online System</w:t>
            </w:r>
          </w:p>
        </w:tc>
      </w:tr>
      <w:tr>
        <w:tc>
          <w:tcPr>
            <w:tcW w:type="dxa" w:w="2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color="auto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D1B2A"/>
                <w:sz w:val="20"/>
                <w:szCs w:val="20"/>
              </w:rPr>
              <w:t xml:space="preserve">Statutory Reference:</w:t>
            </w:r>
          </w:p>
        </w:tc>
        <w:tc>
          <w:tcPr>
            <w:tcW w:type="dxa" w:w="744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color="auto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B2D42"/>
                <w:sz w:val="20"/>
                <w:szCs w:val="20"/>
              </w:rPr>
              <w:t xml:space="preserve">POPIA Sections 19, 22, 74</w:t>
            </w:r>
          </w:p>
        </w:tc>
      </w:tr>
      <w:tr>
        <w:tc>
          <w:tcPr>
            <w:tcW w:type="dxa" w:w="2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color="auto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D1B2A"/>
                <w:sz w:val="20"/>
                <w:szCs w:val="20"/>
              </w:rPr>
              <w:t xml:space="preserve">Evidence Type:</w:t>
            </w:r>
          </w:p>
        </w:tc>
        <w:tc>
          <w:tcPr>
            <w:tcW w:type="dxa" w:w="744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color="auto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B2D42"/>
                <w:sz w:val="20"/>
                <w:szCs w:val="20"/>
              </w:rPr>
              <w:t xml:space="preserve">Email correspondence – formal admission</w:t>
            </w:r>
          </w:p>
        </w:tc>
      </w:tr>
    </w:tbl>
    <w:tbl>
      <w:tblPr>
        <w:tblW w:type="dxa" w:w="100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10040"/>
            <w:tcBorders>
              <w:top w:val="single" w:color="C9A84C" w:sz="8"/>
              <w:left w:val="single" w:color="C9A84C" w:sz="8"/>
              <w:bottom w:val="single" w:color="C9A84C" w:sz="8"/>
              <w:right w:val="single" w:color="C9A84C" w:sz="8"/>
            </w:tcBorders>
            <w:shd w:fill="0D1B2A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FFFFFF"/>
                <w:sz w:val="19"/>
                <w:szCs w:val="19"/>
              </w:rPr>
              <w:t xml:space="preserve">This annexure records the OCJ's formal written admission that the Court Online system was experiencing defects affecting notifications, without subsequent remediation.</w:t>
            </w:r>
          </w:p>
        </w:tc>
      </w:tr>
    </w:tbl>
    <w:p>
      <w:pPr>
        <w:spacing w:before="600"/>
      </w:pPr>
      <w:r>
        <w:t xml:space="preserve"/>
      </w:r>
    </w:p>
    <w:p>
      <w:pPr>
        <w:pBdr>
          <w:top w:val="single" w:color="AAAAAA" w:sz="6"/>
        </w:pBdr>
        <w:spacing w:after="0" w:before="200"/>
        <w:jc w:val="center"/>
      </w:pPr>
      <w:r>
        <w:rPr>
          <w:rFonts w:ascii="Calibri" w:cs="Calibri" w:eastAsia="Calibri" w:hAnsi="Calibri"/>
          <w:i/>
          <w:iCs/>
          <w:color w:val="2B2D42"/>
          <w:sz w:val="19"/>
          <w:szCs w:val="19"/>
        </w:rPr>
        <w:t xml:space="preserve">Evidence for A4 follows on the next page.</w:t>
      </w:r>
    </w:p>
    <w:p>
      <w:r>
        <w:br w:type="page"/>
      </w:r>
    </w:p>
    <w:p>
      <w:pPr>
        <w:spacing w:after="60" w:before="400"/>
        <w:jc w:val="center"/>
      </w:pPr>
      <w:r>
        <w:rPr>
          <w:rFonts w:ascii="Calibri" w:cs="Calibri" w:eastAsia="Calibri" w:hAnsi="Calibri"/>
          <w:b/>
          <w:bCs/>
          <w:color w:val="2B2D42"/>
          <w:spacing w:val="20"/>
          <w:sz w:val="28"/>
          <w:szCs w:val="28"/>
        </w:rPr>
        <w:t xml:space="preserve">ANNEXURE</w:t>
      </w: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B01010"/>
          <w:sz w:val="72"/>
          <w:szCs w:val="72"/>
        </w:rPr>
        <w:t xml:space="preserve">A5</w:t>
      </w:r>
    </w:p>
    <w:p>
      <w:pPr>
        <w:pBdr>
          <w:bottom w:val="single" w:color="C9A84C" w:sz="12"/>
        </w:pBdr>
        <w:spacing w:after="300"/>
      </w:pPr>
      <w:r>
        <w:t xml:space="preserve"/>
      </w:r>
    </w:p>
    <w:p>
      <w:pPr>
        <w:spacing w:after="400"/>
        <w:jc w:val="center"/>
      </w:pPr>
      <w:r>
        <w:rPr>
          <w:rFonts w:ascii="Calibri" w:cs="Calibri" w:eastAsia="Calibri" w:hAnsi="Calibri"/>
          <w:b/>
          <w:bCs/>
          <w:color w:val="0D1B2A"/>
          <w:sz w:val="26"/>
          <w:szCs w:val="26"/>
        </w:rPr>
        <w:t xml:space="preserve">Formal Escalation to Judge Presidents (EH/JO/2026/003)</w:t>
      </w:r>
    </w:p>
    <w:tbl>
      <w:tblPr>
        <w:tblW w:type="dxa" w:w="100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440"/>
      </w:tblGrid>
      <w:tr>
        <w:tc>
          <w:tcPr>
            <w:tcW w:type="dxa" w:w="2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color="auto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D1B2A"/>
                <w:sz w:val="20"/>
                <w:szCs w:val="20"/>
              </w:rPr>
              <w:t xml:space="preserve">Date of Evidence:</w:t>
            </w:r>
          </w:p>
        </w:tc>
        <w:tc>
          <w:tcPr>
            <w:tcW w:type="dxa" w:w="744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color="auto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B2D42"/>
                <w:sz w:val="20"/>
                <w:szCs w:val="20"/>
              </w:rPr>
              <w:t xml:space="preserve">9 June 2026</w:t>
            </w:r>
          </w:p>
        </w:tc>
      </w:tr>
      <w:tr>
        <w:tc>
          <w:tcPr>
            <w:tcW w:type="dxa" w:w="2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color="auto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D1B2A"/>
                <w:sz w:val="20"/>
                <w:szCs w:val="20"/>
              </w:rPr>
              <w:t xml:space="preserve">Related Complaint:</w:t>
            </w:r>
          </w:p>
        </w:tc>
        <w:tc>
          <w:tcPr>
            <w:tcW w:type="dxa" w:w="744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color="auto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B2D42"/>
                <w:sz w:val="20"/>
                <w:szCs w:val="20"/>
              </w:rPr>
              <w:t xml:space="preserve">Systemic escalation supporting Complaints 2, 3 and 4</w:t>
            </w:r>
          </w:p>
        </w:tc>
      </w:tr>
      <w:tr>
        <w:tc>
          <w:tcPr>
            <w:tcW w:type="dxa" w:w="2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color="auto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D1B2A"/>
                <w:sz w:val="20"/>
                <w:szCs w:val="20"/>
              </w:rPr>
              <w:t xml:space="preserve">Addressed To:</w:t>
            </w:r>
          </w:p>
        </w:tc>
        <w:tc>
          <w:tcPr>
            <w:tcW w:type="dxa" w:w="744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color="auto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B2D42"/>
                <w:sz w:val="20"/>
                <w:szCs w:val="20"/>
              </w:rPr>
              <w:t xml:space="preserve">Judge President(s), Western Cape Division</w:t>
            </w:r>
          </w:p>
        </w:tc>
      </w:tr>
      <w:tr>
        <w:tc>
          <w:tcPr>
            <w:tcW w:type="dxa" w:w="2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color="auto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D1B2A"/>
                <w:sz w:val="20"/>
                <w:szCs w:val="20"/>
              </w:rPr>
              <w:t xml:space="preserve">Case Reference(s):</w:t>
            </w:r>
          </w:p>
        </w:tc>
        <w:tc>
          <w:tcPr>
            <w:tcW w:type="dxa" w:w="744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color="auto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B2D42"/>
                <w:sz w:val="20"/>
                <w:szCs w:val="20"/>
              </w:rPr>
              <w:t xml:space="preserve">EH/JO/2026/003</w:t>
            </w:r>
          </w:p>
        </w:tc>
      </w:tr>
      <w:tr>
        <w:tc>
          <w:tcPr>
            <w:tcW w:type="dxa" w:w="2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color="auto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D1B2A"/>
                <w:sz w:val="20"/>
                <w:szCs w:val="20"/>
              </w:rPr>
              <w:t xml:space="preserve">Statutory Reference:</w:t>
            </w:r>
          </w:p>
        </w:tc>
        <w:tc>
          <w:tcPr>
            <w:tcW w:type="dxa" w:w="744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color="auto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B2D42"/>
                <w:sz w:val="20"/>
                <w:szCs w:val="20"/>
              </w:rPr>
              <w:t xml:space="preserve">POPIA Sections 19, 22, 23, 74; PAIA</w:t>
            </w:r>
          </w:p>
        </w:tc>
      </w:tr>
      <w:tr>
        <w:tc>
          <w:tcPr>
            <w:tcW w:type="dxa" w:w="2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color="auto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D1B2A"/>
                <w:sz w:val="20"/>
                <w:szCs w:val="20"/>
              </w:rPr>
              <w:t xml:space="preserve">Evidence Type:</w:t>
            </w:r>
          </w:p>
        </w:tc>
        <w:tc>
          <w:tcPr>
            <w:tcW w:type="dxa" w:w="744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color="auto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B2D42"/>
                <w:sz w:val="20"/>
                <w:szCs w:val="20"/>
              </w:rPr>
              <w:t xml:space="preserve">Formal escalation correspondence</w:t>
            </w:r>
          </w:p>
        </w:tc>
      </w:tr>
    </w:tbl>
    <w:tbl>
      <w:tblPr>
        <w:tblW w:type="dxa" w:w="100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10040"/>
            <w:tcBorders>
              <w:top w:val="single" w:color="C9A84C" w:sz="8"/>
              <w:left w:val="single" w:color="C9A84C" w:sz="8"/>
              <w:bottom w:val="single" w:color="C9A84C" w:sz="8"/>
              <w:right w:val="single" w:color="C9A84C" w:sz="8"/>
            </w:tcBorders>
            <w:shd w:fill="0D1B2A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FFFFFF"/>
                <w:sz w:val="19"/>
                <w:szCs w:val="19"/>
              </w:rPr>
              <w:t xml:space="preserve">This annexure demonstrates that the Complainant exhausted internal escalation channels prior to lodging this regulatory complaint.</w:t>
            </w:r>
          </w:p>
        </w:tc>
      </w:tr>
    </w:tbl>
    <w:p>
      <w:pPr>
        <w:spacing w:before="600"/>
      </w:pPr>
      <w:r>
        <w:t xml:space="preserve"/>
      </w:r>
    </w:p>
    <w:p>
      <w:pPr>
        <w:pBdr>
          <w:top w:val="single" w:color="AAAAAA" w:sz="6"/>
        </w:pBdr>
        <w:spacing w:after="0" w:before="200"/>
        <w:jc w:val="center"/>
      </w:pPr>
      <w:r>
        <w:rPr>
          <w:rFonts w:ascii="Calibri" w:cs="Calibri" w:eastAsia="Calibri" w:hAnsi="Calibri"/>
          <w:i/>
          <w:iCs/>
          <w:color w:val="2B2D42"/>
          <w:sz w:val="19"/>
          <w:szCs w:val="19"/>
        </w:rPr>
        <w:t xml:space="preserve">Evidence for A5 follows on the next page.</w:t>
      </w:r>
    </w:p>
    <w:p>
      <w:r>
        <w:br w:type="page"/>
      </w:r>
    </w:p>
    <w:p>
      <w:pPr>
        <w:spacing w:after="60" w:before="400"/>
        <w:jc w:val="center"/>
      </w:pPr>
      <w:r>
        <w:rPr>
          <w:rFonts w:ascii="Calibri" w:cs="Calibri" w:eastAsia="Calibri" w:hAnsi="Calibri"/>
          <w:b/>
          <w:bCs/>
          <w:color w:val="2B2D42"/>
          <w:spacing w:val="20"/>
          <w:sz w:val="28"/>
          <w:szCs w:val="28"/>
        </w:rPr>
        <w:t xml:space="preserve">ANNEXURE</w:t>
      </w: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B01010"/>
          <w:sz w:val="72"/>
          <w:szCs w:val="72"/>
        </w:rPr>
        <w:t xml:space="preserve">A6</w:t>
      </w:r>
    </w:p>
    <w:p>
      <w:pPr>
        <w:pBdr>
          <w:bottom w:val="single" w:color="C9A84C" w:sz="12"/>
        </w:pBdr>
        <w:spacing w:after="300"/>
      </w:pPr>
      <w:r>
        <w:t xml:space="preserve"/>
      </w:r>
    </w:p>
    <w:p>
      <w:pPr>
        <w:spacing w:after="400"/>
        <w:jc w:val="center"/>
      </w:pPr>
      <w:r>
        <w:rPr>
          <w:rFonts w:ascii="Calibri" w:cs="Calibri" w:eastAsia="Calibri" w:hAnsi="Calibri"/>
          <w:b/>
          <w:bCs/>
          <w:color w:val="0D1B2A"/>
          <w:sz w:val="26"/>
          <w:szCs w:val="26"/>
        </w:rPr>
        <w:t xml:space="preserve">EthicHawks Final Closure Report</w:t>
      </w:r>
    </w:p>
    <w:tbl>
      <w:tblPr>
        <w:tblW w:type="dxa" w:w="100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440"/>
      </w:tblGrid>
      <w:tr>
        <w:tc>
          <w:tcPr>
            <w:tcW w:type="dxa" w:w="2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color="auto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D1B2A"/>
                <w:sz w:val="20"/>
                <w:szCs w:val="20"/>
              </w:rPr>
              <w:t xml:space="preserve">Date of Evidence:</w:t>
            </w:r>
          </w:p>
        </w:tc>
        <w:tc>
          <w:tcPr>
            <w:tcW w:type="dxa" w:w="744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color="auto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B2D42"/>
                <w:sz w:val="20"/>
                <w:szCs w:val="20"/>
              </w:rPr>
              <w:t xml:space="preserve">23 June 2026</w:t>
            </w:r>
          </w:p>
        </w:tc>
      </w:tr>
      <w:tr>
        <w:tc>
          <w:tcPr>
            <w:tcW w:type="dxa" w:w="2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color="auto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D1B2A"/>
                <w:sz w:val="20"/>
                <w:szCs w:val="20"/>
              </w:rPr>
              <w:t xml:space="preserve">Related Complaint:</w:t>
            </w:r>
          </w:p>
        </w:tc>
        <w:tc>
          <w:tcPr>
            <w:tcW w:type="dxa" w:w="744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color="auto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B2D42"/>
                <w:sz w:val="20"/>
                <w:szCs w:val="20"/>
              </w:rPr>
              <w:t xml:space="preserve">Systemic escalation supporting Complaints 2, 3 and 4</w:t>
            </w:r>
          </w:p>
        </w:tc>
      </w:tr>
      <w:tr>
        <w:tc>
          <w:tcPr>
            <w:tcW w:type="dxa" w:w="2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color="auto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D1B2A"/>
                <w:sz w:val="20"/>
                <w:szCs w:val="20"/>
              </w:rPr>
              <w:t xml:space="preserve">Prepared By:</w:t>
            </w:r>
          </w:p>
        </w:tc>
        <w:tc>
          <w:tcPr>
            <w:tcW w:type="dxa" w:w="744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color="auto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B2D42"/>
                <w:sz w:val="20"/>
                <w:szCs w:val="20"/>
              </w:rPr>
              <w:t xml:space="preserve">EthicHawks Forensic Governance &amp; Compliance Consultancy</w:t>
            </w:r>
          </w:p>
        </w:tc>
      </w:tr>
      <w:tr>
        <w:tc>
          <w:tcPr>
            <w:tcW w:type="dxa" w:w="2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color="auto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D1B2A"/>
                <w:sz w:val="20"/>
                <w:szCs w:val="20"/>
              </w:rPr>
              <w:t xml:space="preserve">Case Reference(s):</w:t>
            </w:r>
          </w:p>
        </w:tc>
        <w:tc>
          <w:tcPr>
            <w:tcW w:type="dxa" w:w="744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color="auto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B2D42"/>
                <w:sz w:val="20"/>
                <w:szCs w:val="20"/>
              </w:rPr>
              <w:t xml:space="preserve">2026-086906; 2026-077546; 2026-083299</w:t>
            </w:r>
          </w:p>
        </w:tc>
      </w:tr>
      <w:tr>
        <w:tc>
          <w:tcPr>
            <w:tcW w:type="dxa" w:w="2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color="auto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D1B2A"/>
                <w:sz w:val="20"/>
                <w:szCs w:val="20"/>
              </w:rPr>
              <w:t xml:space="preserve">Statutory Reference:</w:t>
            </w:r>
          </w:p>
        </w:tc>
        <w:tc>
          <w:tcPr>
            <w:tcW w:type="dxa" w:w="744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color="auto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B2D42"/>
                <w:sz w:val="20"/>
                <w:szCs w:val="20"/>
              </w:rPr>
              <w:t xml:space="preserve">POPIA Sections 19, 22, 23, 74; PAIA</w:t>
            </w:r>
          </w:p>
        </w:tc>
      </w:tr>
      <w:tr>
        <w:tc>
          <w:tcPr>
            <w:tcW w:type="dxa" w:w="2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color="auto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D1B2A"/>
                <w:sz w:val="20"/>
                <w:szCs w:val="20"/>
              </w:rPr>
              <w:t xml:space="preserve">Evidence Type:</w:t>
            </w:r>
          </w:p>
        </w:tc>
        <w:tc>
          <w:tcPr>
            <w:tcW w:type="dxa" w:w="744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color="auto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B2D42"/>
                <w:sz w:val="20"/>
                <w:szCs w:val="20"/>
              </w:rPr>
              <w:t xml:space="preserve">Internal forensic closure report</w:t>
            </w:r>
          </w:p>
        </w:tc>
      </w:tr>
    </w:tbl>
    <w:tbl>
      <w:tblPr>
        <w:tblW w:type="dxa" w:w="100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10040"/>
            <w:tcBorders>
              <w:top w:val="single" w:color="C9A84C" w:sz="8"/>
              <w:left w:val="single" w:color="C9A84C" w:sz="8"/>
              <w:bottom w:val="single" w:color="C9A84C" w:sz="8"/>
              <w:right w:val="single" w:color="C9A84C" w:sz="8"/>
            </w:tcBorders>
            <w:shd w:fill="0D1B2A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FFFFFF"/>
                <w:sz w:val="19"/>
                <w:szCs w:val="19"/>
              </w:rPr>
              <w:t xml:space="preserve">This annexure summarises the Complainant's internal findings and closure position following the OCJ's failure to remediate the issues raised.</w:t>
            </w:r>
          </w:p>
        </w:tc>
      </w:tr>
    </w:tbl>
    <w:p>
      <w:pPr>
        <w:spacing w:before="600"/>
      </w:pPr>
      <w:r>
        <w:t xml:space="preserve"/>
      </w:r>
    </w:p>
    <w:p>
      <w:pPr>
        <w:pBdr>
          <w:top w:val="single" w:color="AAAAAA" w:sz="6"/>
        </w:pBdr>
        <w:spacing w:after="0" w:before="200"/>
        <w:jc w:val="center"/>
      </w:pPr>
      <w:r>
        <w:rPr>
          <w:rFonts w:ascii="Calibri" w:cs="Calibri" w:eastAsia="Calibri" w:hAnsi="Calibri"/>
          <w:i/>
          <w:iCs/>
          <w:color w:val="2B2D42"/>
          <w:sz w:val="19"/>
          <w:szCs w:val="19"/>
        </w:rPr>
        <w:t xml:space="preserve">Evidence for A6 follows on the next page.</w:t>
      </w:r>
    </w:p>
    <w:p>
      <w:r>
        <w:br w:type="page"/>
      </w:r>
    </w:p>
    <w:p>
      <w:pPr>
        <w:spacing w:after="60" w:before="400"/>
        <w:jc w:val="center"/>
      </w:pPr>
      <w:r>
        <w:rPr>
          <w:rFonts w:ascii="Calibri" w:cs="Calibri" w:eastAsia="Calibri" w:hAnsi="Calibri"/>
          <w:b/>
          <w:bCs/>
          <w:color w:val="2B2D42"/>
          <w:spacing w:val="20"/>
          <w:sz w:val="28"/>
          <w:szCs w:val="28"/>
        </w:rPr>
        <w:t xml:space="preserve">ANNEXURE</w:t>
      </w: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B01010"/>
          <w:sz w:val="72"/>
          <w:szCs w:val="72"/>
        </w:rPr>
        <w:t xml:space="preserve">A7</w:t>
      </w:r>
    </w:p>
    <w:p>
      <w:pPr>
        <w:pBdr>
          <w:bottom w:val="single" w:color="C9A84C" w:sz="12"/>
        </w:pBdr>
        <w:spacing w:after="300"/>
      </w:pPr>
      <w:r>
        <w:t xml:space="preserve"/>
      </w:r>
    </w:p>
    <w:p>
      <w:pPr>
        <w:spacing w:after="400"/>
        <w:jc w:val="center"/>
      </w:pPr>
      <w:r>
        <w:rPr>
          <w:rFonts w:ascii="Calibri" w:cs="Calibri" w:eastAsia="Calibri" w:hAnsi="Calibri"/>
          <w:b/>
          <w:bCs/>
          <w:color w:val="0D1B2A"/>
          <w:sz w:val="26"/>
          <w:szCs w:val="26"/>
        </w:rPr>
        <w:t xml:space="preserve">Notice of Administrative Default</w:t>
      </w:r>
    </w:p>
    <w:tbl>
      <w:tblPr>
        <w:tblW w:type="dxa" w:w="100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440"/>
      </w:tblGrid>
      <w:tr>
        <w:tc>
          <w:tcPr>
            <w:tcW w:type="dxa" w:w="2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color="auto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D1B2A"/>
                <w:sz w:val="20"/>
                <w:szCs w:val="20"/>
              </w:rPr>
              <w:t xml:space="preserve">Date of Evidence:</w:t>
            </w:r>
          </w:p>
        </w:tc>
        <w:tc>
          <w:tcPr>
            <w:tcW w:type="dxa" w:w="744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color="auto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B2D42"/>
                <w:sz w:val="20"/>
                <w:szCs w:val="20"/>
              </w:rPr>
              <w:t xml:space="preserve">1 July 2026</w:t>
            </w:r>
          </w:p>
        </w:tc>
      </w:tr>
      <w:tr>
        <w:tc>
          <w:tcPr>
            <w:tcW w:type="dxa" w:w="2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color="auto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D1B2A"/>
                <w:sz w:val="20"/>
                <w:szCs w:val="20"/>
              </w:rPr>
              <w:t xml:space="preserve">Related Complaint:</w:t>
            </w:r>
          </w:p>
        </w:tc>
        <w:tc>
          <w:tcPr>
            <w:tcW w:type="dxa" w:w="744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color="auto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B2D42"/>
                <w:sz w:val="20"/>
                <w:szCs w:val="20"/>
              </w:rPr>
              <w:t xml:space="preserve">Systemic escalation supporting Complaints 2, 3 and 4</w:t>
            </w:r>
          </w:p>
        </w:tc>
      </w:tr>
      <w:tr>
        <w:tc>
          <w:tcPr>
            <w:tcW w:type="dxa" w:w="2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color="auto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D1B2A"/>
                <w:sz w:val="20"/>
                <w:szCs w:val="20"/>
              </w:rPr>
              <w:t xml:space="preserve">Issued To:</w:t>
            </w:r>
          </w:p>
        </w:tc>
        <w:tc>
          <w:tcPr>
            <w:tcW w:type="dxa" w:w="744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color="auto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B2D42"/>
                <w:sz w:val="20"/>
                <w:szCs w:val="20"/>
              </w:rPr>
              <w:t xml:space="preserve">Office of the Chief Justice (OCJ)</w:t>
            </w:r>
          </w:p>
        </w:tc>
      </w:tr>
      <w:tr>
        <w:tc>
          <w:tcPr>
            <w:tcW w:type="dxa" w:w="2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color="auto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D1B2A"/>
                <w:sz w:val="20"/>
                <w:szCs w:val="20"/>
              </w:rPr>
              <w:t xml:space="preserve">Case Reference(s):</w:t>
            </w:r>
          </w:p>
        </w:tc>
        <w:tc>
          <w:tcPr>
            <w:tcW w:type="dxa" w:w="744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color="auto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B2D42"/>
                <w:sz w:val="20"/>
                <w:szCs w:val="20"/>
              </w:rPr>
              <w:t xml:space="preserve">2026-086906; 2026-077546</w:t>
            </w:r>
          </w:p>
        </w:tc>
      </w:tr>
      <w:tr>
        <w:tc>
          <w:tcPr>
            <w:tcW w:type="dxa" w:w="2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color="auto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D1B2A"/>
                <w:sz w:val="20"/>
                <w:szCs w:val="20"/>
              </w:rPr>
              <w:t xml:space="preserve">Statutory Reference:</w:t>
            </w:r>
          </w:p>
        </w:tc>
        <w:tc>
          <w:tcPr>
            <w:tcW w:type="dxa" w:w="744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color="auto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B2D42"/>
                <w:sz w:val="20"/>
                <w:szCs w:val="20"/>
              </w:rPr>
              <w:t xml:space="preserve">PAIA – deemed refusal; POPIA Section 23</w:t>
            </w:r>
          </w:p>
        </w:tc>
      </w:tr>
      <w:tr>
        <w:tc>
          <w:tcPr>
            <w:tcW w:type="dxa" w:w="2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color="auto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D1B2A"/>
                <w:sz w:val="20"/>
                <w:szCs w:val="20"/>
              </w:rPr>
              <w:t xml:space="preserve">Evidence Type:</w:t>
            </w:r>
          </w:p>
        </w:tc>
        <w:tc>
          <w:tcPr>
            <w:tcW w:type="dxa" w:w="744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color="auto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B2D42"/>
                <w:sz w:val="20"/>
                <w:szCs w:val="20"/>
              </w:rPr>
              <w:t xml:space="preserve">Formal notice</w:t>
            </w:r>
          </w:p>
        </w:tc>
      </w:tr>
    </w:tbl>
    <w:tbl>
      <w:tblPr>
        <w:tblW w:type="dxa" w:w="100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10040"/>
            <w:tcBorders>
              <w:top w:val="single" w:color="C9A84C" w:sz="8"/>
              <w:left w:val="single" w:color="C9A84C" w:sz="8"/>
              <w:bottom w:val="single" w:color="C9A84C" w:sz="8"/>
              <w:right w:val="single" w:color="C9A84C" w:sz="8"/>
            </w:tcBorders>
            <w:shd w:fill="0D1B2A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FFFFFF"/>
                <w:sz w:val="19"/>
                <w:szCs w:val="19"/>
              </w:rPr>
              <w:t xml:space="preserve">This annexure places the OCJ on formal notice of administrative default arising from its failure to respond substantively to outstanding requests.</w:t>
            </w:r>
          </w:p>
        </w:tc>
      </w:tr>
    </w:tbl>
    <w:p>
      <w:pPr>
        <w:spacing w:before="600"/>
      </w:pPr>
      <w:r>
        <w:t xml:space="preserve"/>
      </w:r>
    </w:p>
    <w:p>
      <w:pPr>
        <w:pBdr>
          <w:top w:val="single" w:color="AAAAAA" w:sz="6"/>
        </w:pBdr>
        <w:spacing w:after="0" w:before="200"/>
        <w:jc w:val="center"/>
      </w:pPr>
      <w:r>
        <w:rPr>
          <w:rFonts w:ascii="Calibri" w:cs="Calibri" w:eastAsia="Calibri" w:hAnsi="Calibri"/>
          <w:i/>
          <w:iCs/>
          <w:color w:val="2B2D42"/>
          <w:sz w:val="19"/>
          <w:szCs w:val="19"/>
        </w:rPr>
        <w:t xml:space="preserve">Evidence for A7 follows on the next page.</w:t>
      </w:r>
    </w:p>
    <w:p>
      <w:r>
        <w:br w:type="page"/>
      </w:r>
    </w:p>
    <w:p>
      <w:pPr>
        <w:spacing w:after="60" w:before="400"/>
        <w:jc w:val="center"/>
      </w:pPr>
      <w:r>
        <w:rPr>
          <w:rFonts w:ascii="Calibri" w:cs="Calibri" w:eastAsia="Calibri" w:hAnsi="Calibri"/>
          <w:b/>
          <w:bCs/>
          <w:color w:val="2B2D42"/>
          <w:spacing w:val="20"/>
          <w:sz w:val="28"/>
          <w:szCs w:val="28"/>
        </w:rPr>
        <w:t xml:space="preserve">ANNEXURE</w:t>
      </w: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B01010"/>
          <w:sz w:val="72"/>
          <w:szCs w:val="72"/>
        </w:rPr>
        <w:t xml:space="preserve">A8</w:t>
      </w:r>
    </w:p>
    <w:p>
      <w:pPr>
        <w:pBdr>
          <w:bottom w:val="single" w:color="C9A84C" w:sz="12"/>
        </w:pBdr>
        <w:spacing w:after="300"/>
      </w:pPr>
      <w:r>
        <w:t xml:space="preserve"/>
      </w:r>
    </w:p>
    <w:p>
      <w:pPr>
        <w:spacing w:after="400"/>
        <w:jc w:val="center"/>
      </w:pPr>
      <w:r>
        <w:rPr>
          <w:rFonts w:ascii="Calibri" w:cs="Calibri" w:eastAsia="Calibri" w:hAnsi="Calibri"/>
          <w:b/>
          <w:bCs/>
          <w:color w:val="0D1B2A"/>
          <w:sz w:val="26"/>
          <w:szCs w:val="26"/>
        </w:rPr>
        <w:t xml:space="preserve">Audio Request Emails to Acting Chief Registrar Hanekom</w:t>
      </w:r>
    </w:p>
    <w:tbl>
      <w:tblPr>
        <w:tblW w:type="dxa" w:w="100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440"/>
      </w:tblGrid>
      <w:tr>
        <w:tc>
          <w:tcPr>
            <w:tcW w:type="dxa" w:w="2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color="auto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D1B2A"/>
                <w:sz w:val="20"/>
                <w:szCs w:val="20"/>
              </w:rPr>
              <w:t xml:space="preserve">Date of Evidence:</w:t>
            </w:r>
          </w:p>
        </w:tc>
        <w:tc>
          <w:tcPr>
            <w:tcW w:type="dxa" w:w="744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color="auto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B2D42"/>
                <w:sz w:val="20"/>
                <w:szCs w:val="20"/>
              </w:rPr>
              <w:t xml:space="preserve">26 March 2026 &amp; 3 June 2026 (with read receipts)</w:t>
            </w:r>
          </w:p>
        </w:tc>
      </w:tr>
      <w:tr>
        <w:tc>
          <w:tcPr>
            <w:tcW w:type="dxa" w:w="2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color="auto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D1B2A"/>
                <w:sz w:val="20"/>
                <w:szCs w:val="20"/>
              </w:rPr>
              <w:t xml:space="preserve">Related Complaint:</w:t>
            </w:r>
          </w:p>
        </w:tc>
        <w:tc>
          <w:tcPr>
            <w:tcW w:type="dxa" w:w="744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color="auto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B2D42"/>
                <w:sz w:val="20"/>
                <w:szCs w:val="20"/>
              </w:rPr>
              <w:t xml:space="preserve">Complaint 3 – Denial of Access to Personal Records (Suppression of Audio Evidence)</w:t>
            </w:r>
          </w:p>
        </w:tc>
      </w:tr>
      <w:tr>
        <w:tc>
          <w:tcPr>
            <w:tcW w:type="dxa" w:w="2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color="auto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D1B2A"/>
                <w:sz w:val="20"/>
                <w:szCs w:val="20"/>
              </w:rPr>
              <w:t xml:space="preserve">Responsible Official:</w:t>
            </w:r>
          </w:p>
        </w:tc>
        <w:tc>
          <w:tcPr>
            <w:tcW w:type="dxa" w:w="744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color="auto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B2D42"/>
                <w:sz w:val="20"/>
                <w:szCs w:val="20"/>
              </w:rPr>
              <w:t xml:space="preserve">Acting Chief Registrar Nicola Hanekom (NHanekom@judiciary.org.za)</w:t>
            </w:r>
          </w:p>
        </w:tc>
      </w:tr>
      <w:tr>
        <w:tc>
          <w:tcPr>
            <w:tcW w:type="dxa" w:w="2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color="auto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D1B2A"/>
                <w:sz w:val="20"/>
                <w:szCs w:val="20"/>
              </w:rPr>
              <w:t xml:space="preserve">Case Reference(s):</w:t>
            </w:r>
          </w:p>
        </w:tc>
        <w:tc>
          <w:tcPr>
            <w:tcW w:type="dxa" w:w="744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color="auto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B2D42"/>
                <w:sz w:val="20"/>
                <w:szCs w:val="20"/>
              </w:rPr>
              <w:t xml:space="preserve">2026-066952; 2026-086906</w:t>
            </w:r>
          </w:p>
        </w:tc>
      </w:tr>
      <w:tr>
        <w:tc>
          <w:tcPr>
            <w:tcW w:type="dxa" w:w="2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color="auto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D1B2A"/>
                <w:sz w:val="20"/>
                <w:szCs w:val="20"/>
              </w:rPr>
              <w:t xml:space="preserve">Statutory Reference:</w:t>
            </w:r>
          </w:p>
        </w:tc>
        <w:tc>
          <w:tcPr>
            <w:tcW w:type="dxa" w:w="744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color="auto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B2D42"/>
                <w:sz w:val="20"/>
                <w:szCs w:val="20"/>
              </w:rPr>
              <w:t xml:space="preserve">POPIA Section 23 (read with PAIA); Section 74</w:t>
            </w:r>
          </w:p>
        </w:tc>
      </w:tr>
      <w:tr>
        <w:tc>
          <w:tcPr>
            <w:tcW w:type="dxa" w:w="2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color="auto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D1B2A"/>
                <w:sz w:val="20"/>
                <w:szCs w:val="20"/>
              </w:rPr>
              <w:t xml:space="preserve">Evidence Type:</w:t>
            </w:r>
          </w:p>
        </w:tc>
        <w:tc>
          <w:tcPr>
            <w:tcW w:type="dxa" w:w="744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color="auto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B2D42"/>
                <w:sz w:val="20"/>
                <w:szCs w:val="20"/>
              </w:rPr>
              <w:t xml:space="preserve">Email correspondence and read receipts</w:t>
            </w:r>
          </w:p>
        </w:tc>
      </w:tr>
    </w:tbl>
    <w:tbl>
      <w:tblPr>
        <w:tblW w:type="dxa" w:w="100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10040"/>
            <w:tcBorders>
              <w:top w:val="single" w:color="C9A84C" w:sz="8"/>
              <w:left w:val="single" w:color="C9A84C" w:sz="8"/>
              <w:bottom w:val="single" w:color="C9A84C" w:sz="8"/>
              <w:right w:val="single" w:color="C9A84C" w:sz="8"/>
            </w:tcBorders>
            <w:shd w:fill="0D1B2A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FFFFFF"/>
                <w:sz w:val="19"/>
                <w:szCs w:val="19"/>
              </w:rPr>
              <w:t xml:space="preserve">This annexure evidences the Complainant's formal requests for official audio recordings and the deemed refusal arising from the lack of substantive response.</w:t>
            </w:r>
          </w:p>
        </w:tc>
      </w:tr>
    </w:tbl>
    <w:p>
      <w:pPr>
        <w:spacing w:before="600"/>
      </w:pPr>
      <w:r>
        <w:t xml:space="preserve"/>
      </w:r>
    </w:p>
    <w:p>
      <w:pPr>
        <w:pBdr>
          <w:top w:val="single" w:color="AAAAAA" w:sz="6"/>
        </w:pBdr>
        <w:spacing w:after="0" w:before="200"/>
        <w:jc w:val="center"/>
      </w:pPr>
      <w:r>
        <w:rPr>
          <w:rFonts w:ascii="Calibri" w:cs="Calibri" w:eastAsia="Calibri" w:hAnsi="Calibri"/>
          <w:i/>
          <w:iCs/>
          <w:color w:val="2B2D42"/>
          <w:sz w:val="19"/>
          <w:szCs w:val="19"/>
        </w:rPr>
        <w:t xml:space="preserve">Evidence for A8 follows on the next page.</w:t>
      </w:r>
    </w:p>
    <w:p>
      <w:r>
        <w:br w:type="page"/>
      </w:r>
    </w:p>
    <w:p>
      <w:pPr>
        <w:spacing w:after="60" w:before="400"/>
        <w:jc w:val="center"/>
      </w:pPr>
      <w:r>
        <w:rPr>
          <w:rFonts w:ascii="Calibri" w:cs="Calibri" w:eastAsia="Calibri" w:hAnsi="Calibri"/>
          <w:b/>
          <w:bCs/>
          <w:color w:val="2B2D42"/>
          <w:spacing w:val="20"/>
          <w:sz w:val="28"/>
          <w:szCs w:val="28"/>
        </w:rPr>
        <w:t xml:space="preserve">ANNEXURE</w:t>
      </w: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B01010"/>
          <w:sz w:val="72"/>
          <w:szCs w:val="72"/>
        </w:rPr>
        <w:t xml:space="preserve">A9</w:t>
      </w:r>
    </w:p>
    <w:p>
      <w:pPr>
        <w:pBdr>
          <w:bottom w:val="single" w:color="C9A84C" w:sz="12"/>
        </w:pBdr>
        <w:spacing w:after="300"/>
      </w:pPr>
      <w:r>
        <w:t xml:space="preserve"/>
      </w:r>
    </w:p>
    <w:p>
      <w:pPr>
        <w:spacing w:after="400"/>
        <w:jc w:val="center"/>
      </w:pPr>
      <w:r>
        <w:rPr>
          <w:rFonts w:ascii="Calibri" w:cs="Calibri" w:eastAsia="Calibri" w:hAnsi="Calibri"/>
          <w:b/>
          <w:bCs/>
          <w:color w:val="0D1B2A"/>
          <w:sz w:val="26"/>
          <w:szCs w:val="26"/>
        </w:rPr>
        <w:t xml:space="preserve">Registrar Ismail’s Contradictory Correspondence</w:t>
      </w:r>
    </w:p>
    <w:tbl>
      <w:tblPr>
        <w:tblW w:type="dxa" w:w="100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440"/>
      </w:tblGrid>
      <w:tr>
        <w:tc>
          <w:tcPr>
            <w:tcW w:type="dxa" w:w="2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color="auto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D1B2A"/>
                <w:sz w:val="20"/>
                <w:szCs w:val="20"/>
              </w:rPr>
              <w:t xml:space="preserve">Date of Evidence:</w:t>
            </w:r>
          </w:p>
        </w:tc>
        <w:tc>
          <w:tcPr>
            <w:tcW w:type="dxa" w:w="744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color="auto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B2D42"/>
                <w:sz w:val="20"/>
                <w:szCs w:val="20"/>
              </w:rPr>
              <w:t xml:space="preserve">12 May 2026 &amp; 10 June 2026</w:t>
            </w:r>
          </w:p>
        </w:tc>
      </w:tr>
      <w:tr>
        <w:tc>
          <w:tcPr>
            <w:tcW w:type="dxa" w:w="2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color="auto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D1B2A"/>
                <w:sz w:val="20"/>
                <w:szCs w:val="20"/>
              </w:rPr>
              <w:t xml:space="preserve">Related Complaint:</w:t>
            </w:r>
          </w:p>
        </w:tc>
        <w:tc>
          <w:tcPr>
            <w:tcW w:type="dxa" w:w="744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color="auto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B2D42"/>
                <w:sz w:val="20"/>
                <w:szCs w:val="20"/>
              </w:rPr>
              <w:t xml:space="preserve">Complaint 4 – Procedural Obstruction and Misrepresentation of Official Records</w:t>
            </w:r>
          </w:p>
        </w:tc>
      </w:tr>
      <w:tr>
        <w:tc>
          <w:tcPr>
            <w:tcW w:type="dxa" w:w="2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color="auto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D1B2A"/>
                <w:sz w:val="20"/>
                <w:szCs w:val="20"/>
              </w:rPr>
              <w:t xml:space="preserve">Responsible Official:</w:t>
            </w:r>
          </w:p>
        </w:tc>
        <w:tc>
          <w:tcPr>
            <w:tcW w:type="dxa" w:w="744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color="auto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B2D42"/>
                <w:sz w:val="20"/>
                <w:szCs w:val="20"/>
              </w:rPr>
              <w:t xml:space="preserve">Registrar Farzaana Ismail (FIsmail@judiciary.org.za)</w:t>
            </w:r>
          </w:p>
        </w:tc>
      </w:tr>
      <w:tr>
        <w:tc>
          <w:tcPr>
            <w:tcW w:type="dxa" w:w="2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color="auto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D1B2A"/>
                <w:sz w:val="20"/>
                <w:szCs w:val="20"/>
              </w:rPr>
              <w:t xml:space="preserve">Case Reference(s):</w:t>
            </w:r>
          </w:p>
        </w:tc>
        <w:tc>
          <w:tcPr>
            <w:tcW w:type="dxa" w:w="744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color="auto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B2D42"/>
                <w:sz w:val="20"/>
                <w:szCs w:val="20"/>
              </w:rPr>
              <w:t xml:space="preserve">2026-077546</w:t>
            </w:r>
          </w:p>
        </w:tc>
      </w:tr>
      <w:tr>
        <w:tc>
          <w:tcPr>
            <w:tcW w:type="dxa" w:w="2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color="auto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D1B2A"/>
                <w:sz w:val="20"/>
                <w:szCs w:val="20"/>
              </w:rPr>
              <w:t xml:space="preserve">Statutory Reference:</w:t>
            </w:r>
          </w:p>
        </w:tc>
        <w:tc>
          <w:tcPr>
            <w:tcW w:type="dxa" w:w="744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color="auto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B2D42"/>
                <w:sz w:val="20"/>
                <w:szCs w:val="20"/>
              </w:rPr>
              <w:t xml:space="preserve">POPIA Sections 19, 23, 74; PAIA</w:t>
            </w:r>
          </w:p>
        </w:tc>
      </w:tr>
      <w:tr>
        <w:tc>
          <w:tcPr>
            <w:tcW w:type="dxa" w:w="2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color="auto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D1B2A"/>
                <w:sz w:val="20"/>
                <w:szCs w:val="20"/>
              </w:rPr>
              <w:t xml:space="preserve">Evidence Type:</w:t>
            </w:r>
          </w:p>
        </w:tc>
        <w:tc>
          <w:tcPr>
            <w:tcW w:type="dxa" w:w="744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color="auto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B2D42"/>
                <w:sz w:val="20"/>
                <w:szCs w:val="20"/>
              </w:rPr>
              <w:t xml:space="preserve">Correspondence log</w:t>
            </w:r>
          </w:p>
        </w:tc>
      </w:tr>
    </w:tbl>
    <w:tbl>
      <w:tblPr>
        <w:tblW w:type="dxa" w:w="100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10040"/>
            <w:tcBorders>
              <w:top w:val="single" w:color="C9A84C" w:sz="8"/>
              <w:left w:val="single" w:color="C9A84C" w:sz="8"/>
              <w:bottom w:val="single" w:color="C9A84C" w:sz="8"/>
              <w:right w:val="single" w:color="C9A84C" w:sz="8"/>
            </w:tcBorders>
            <w:shd w:fill="0D1B2A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FFFFFF"/>
                <w:sz w:val="19"/>
                <w:szCs w:val="19"/>
              </w:rPr>
              <w:t xml:space="preserve">This annexure contrasts two irreconcilable official positions issued a month apart regarding the same matter, evidencing the manufactured procedural barrier.</w:t>
            </w:r>
          </w:p>
        </w:tc>
      </w:tr>
    </w:tbl>
    <w:p>
      <w:pPr>
        <w:spacing w:before="600"/>
      </w:pPr>
      <w:r>
        <w:t xml:space="preserve"/>
      </w:r>
    </w:p>
    <w:p>
      <w:pPr>
        <w:pBdr>
          <w:top w:val="single" w:color="AAAAAA" w:sz="6"/>
        </w:pBdr>
        <w:spacing w:after="0" w:before="200"/>
        <w:jc w:val="center"/>
      </w:pPr>
      <w:r>
        <w:rPr>
          <w:rFonts w:ascii="Calibri" w:cs="Calibri" w:eastAsia="Calibri" w:hAnsi="Calibri"/>
          <w:i/>
          <w:iCs/>
          <w:color w:val="2B2D42"/>
          <w:sz w:val="19"/>
          <w:szCs w:val="19"/>
        </w:rPr>
        <w:t xml:space="preserve">Evidence for A9 follows on the next page.</w:t>
      </w:r>
    </w:p>
    <w:p>
      <w:r>
        <w:br w:type="page"/>
      </w:r>
    </w:p>
    <w:p>
      <w:pPr>
        <w:spacing w:after="60" w:before="400"/>
        <w:jc w:val="center"/>
      </w:pPr>
      <w:r>
        <w:rPr>
          <w:rFonts w:ascii="Calibri" w:cs="Calibri" w:eastAsia="Calibri" w:hAnsi="Calibri"/>
          <w:b/>
          <w:bCs/>
          <w:color w:val="2B2D42"/>
          <w:spacing w:val="20"/>
          <w:sz w:val="28"/>
          <w:szCs w:val="28"/>
        </w:rPr>
        <w:t xml:space="preserve">ANNEXURE</w:t>
      </w: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B01010"/>
          <w:sz w:val="72"/>
          <w:szCs w:val="72"/>
        </w:rPr>
        <w:t xml:space="preserve">A10</w:t>
      </w:r>
    </w:p>
    <w:p>
      <w:pPr>
        <w:pBdr>
          <w:bottom w:val="single" w:color="C9A84C" w:sz="12"/>
        </w:pBdr>
        <w:spacing w:after="300"/>
      </w:pPr>
      <w:r>
        <w:t xml:space="preserve"/>
      </w:r>
    </w:p>
    <w:p>
      <w:pPr>
        <w:spacing w:after="400"/>
        <w:jc w:val="center"/>
      </w:pPr>
      <w:r>
        <w:rPr>
          <w:rFonts w:ascii="Calibri" w:cs="Calibri" w:eastAsia="Calibri" w:hAnsi="Calibri"/>
          <w:b/>
          <w:bCs/>
          <w:color w:val="0D1B2A"/>
          <w:sz w:val="26"/>
          <w:szCs w:val="26"/>
        </w:rPr>
        <w:t xml:space="preserve">Screenshot of “Multiple Emails per 1 Portal Upload”</w:t>
      </w:r>
    </w:p>
    <w:tbl>
      <w:tblPr>
        <w:tblW w:type="dxa" w:w="100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440"/>
      </w:tblGrid>
      <w:tr>
        <w:tc>
          <w:tcPr>
            <w:tcW w:type="dxa" w:w="2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color="auto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D1B2A"/>
                <w:sz w:val="20"/>
                <w:szCs w:val="20"/>
              </w:rPr>
              <w:t xml:space="preserve">Date of Evidence:</w:t>
            </w:r>
          </w:p>
        </w:tc>
        <w:tc>
          <w:tcPr>
            <w:tcW w:type="dxa" w:w="744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color="auto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B2D42"/>
                <w:sz w:val="20"/>
                <w:szCs w:val="20"/>
              </w:rPr>
              <w:t xml:space="preserve">[To be confirmed by Complainant]</w:t>
            </w:r>
          </w:p>
        </w:tc>
      </w:tr>
      <w:tr>
        <w:tc>
          <w:tcPr>
            <w:tcW w:type="dxa" w:w="2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color="auto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D1B2A"/>
                <w:sz w:val="20"/>
                <w:szCs w:val="20"/>
              </w:rPr>
              <w:t xml:space="preserve">Related Complaint:</w:t>
            </w:r>
          </w:p>
        </w:tc>
        <w:tc>
          <w:tcPr>
            <w:tcW w:type="dxa" w:w="744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color="auto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B2D42"/>
                <w:sz w:val="20"/>
                <w:szCs w:val="20"/>
              </w:rPr>
              <w:t xml:space="preserve">Complaint 1 – Aggravating Factor (Manual Control of Document Uploading)</w:t>
            </w:r>
          </w:p>
        </w:tc>
      </w:tr>
      <w:tr>
        <w:tc>
          <w:tcPr>
            <w:tcW w:type="dxa" w:w="2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color="auto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D1B2A"/>
                <w:sz w:val="20"/>
                <w:szCs w:val="20"/>
              </w:rPr>
              <w:t xml:space="preserve">Responsible Official:</w:t>
            </w:r>
          </w:p>
        </w:tc>
        <w:tc>
          <w:tcPr>
            <w:tcW w:type="dxa" w:w="744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color="auto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B2D42"/>
                <w:sz w:val="20"/>
                <w:szCs w:val="20"/>
              </w:rPr>
              <w:t xml:space="preserve">Registrar Tsakani Soundy (TSoundy@judiciary.org.za)</w:t>
            </w:r>
          </w:p>
        </w:tc>
      </w:tr>
      <w:tr>
        <w:tc>
          <w:tcPr>
            <w:tcW w:type="dxa" w:w="2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color="auto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D1B2A"/>
                <w:sz w:val="20"/>
                <w:szCs w:val="20"/>
              </w:rPr>
              <w:t xml:space="preserve">Case Reference(s):</w:t>
            </w:r>
          </w:p>
        </w:tc>
        <w:tc>
          <w:tcPr>
            <w:tcW w:type="dxa" w:w="744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color="auto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B2D42"/>
                <w:sz w:val="20"/>
                <w:szCs w:val="20"/>
              </w:rPr>
              <w:t xml:space="preserve">2026-077546</w:t>
            </w:r>
          </w:p>
        </w:tc>
      </w:tr>
      <w:tr>
        <w:tc>
          <w:tcPr>
            <w:tcW w:type="dxa" w:w="2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color="auto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D1B2A"/>
                <w:sz w:val="20"/>
                <w:szCs w:val="20"/>
              </w:rPr>
              <w:t xml:space="preserve">Statutory Reference:</w:t>
            </w:r>
          </w:p>
        </w:tc>
        <w:tc>
          <w:tcPr>
            <w:tcW w:type="dxa" w:w="744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color="auto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B2D42"/>
                <w:sz w:val="20"/>
                <w:szCs w:val="20"/>
              </w:rPr>
              <w:t xml:space="preserve">POPIA Sections 19, 26, 74</w:t>
            </w:r>
          </w:p>
        </w:tc>
      </w:tr>
      <w:tr>
        <w:tc>
          <w:tcPr>
            <w:tcW w:type="dxa" w:w="2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color="auto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D1B2A"/>
                <w:sz w:val="20"/>
                <w:szCs w:val="20"/>
              </w:rPr>
              <w:t xml:space="preserve">Evidence Type:</w:t>
            </w:r>
          </w:p>
        </w:tc>
        <w:tc>
          <w:tcPr>
            <w:tcW w:type="dxa" w:w="744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color="auto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B2D42"/>
                <w:sz w:val="20"/>
                <w:szCs w:val="20"/>
              </w:rPr>
              <w:t xml:space="preserve">Screenshot – portal / email system</w:t>
            </w:r>
          </w:p>
        </w:tc>
      </w:tr>
    </w:tbl>
    <w:tbl>
      <w:tblPr>
        <w:tblW w:type="dxa" w:w="100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10040"/>
            <w:tcBorders>
              <w:top w:val="single" w:color="C9A84C" w:sz="8"/>
              <w:left w:val="single" w:color="C9A84C" w:sz="8"/>
              <w:bottom w:val="single" w:color="C9A84C" w:sz="8"/>
              <w:right w:val="single" w:color="C9A84C" w:sz="8"/>
            </w:tcBorders>
            <w:shd w:fill="0D1B2A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FFFFFF"/>
                <w:sz w:val="19"/>
                <w:szCs w:val="19"/>
              </w:rPr>
              <w:t xml:space="preserve">This annexure evidences irregularities in the document upload process following the Registrar's assumption of manual control over filings on 5 May 2026. Please confirm the exact date of this screenshot before submission.</w:t>
            </w:r>
          </w:p>
        </w:tc>
      </w:tr>
    </w:tbl>
    <w:p>
      <w:pPr>
        <w:spacing w:before="600"/>
      </w:pPr>
      <w:r>
        <w:t xml:space="preserve"/>
      </w:r>
    </w:p>
    <w:p>
      <w:pPr>
        <w:pBdr>
          <w:top w:val="single" w:color="AAAAAA" w:sz="6"/>
        </w:pBdr>
        <w:spacing w:after="0" w:before="200"/>
        <w:jc w:val="center"/>
      </w:pPr>
      <w:r>
        <w:rPr>
          <w:rFonts w:ascii="Calibri" w:cs="Calibri" w:eastAsia="Calibri" w:hAnsi="Calibri"/>
          <w:i/>
          <w:iCs/>
          <w:color w:val="2B2D42"/>
          <w:sz w:val="19"/>
          <w:szCs w:val="19"/>
        </w:rPr>
        <w:t xml:space="preserve">Evidence for A10 follows on the next page.</w:t>
      </w:r>
    </w:p>
    <w:sectPr>
      <w:headerReference w:type="default" r:id="rId7"/>
      <w:footerReference w:type="default" r:id="rId8"/>
      <w:pgSz w:w="11906" w:h="16838" w:orient="portrait"/>
      <w:pgMar w:top="1600" w:right="1100" w:bottom="12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9A84C" w:sz="6"/>
      </w:pBdr>
      <w:tabs>
        <w:tab w:val="right" w:pos="9026"/>
      </w:tabs>
      <w:spacing w:before="40"/>
    </w:pPr>
    <w:r>
      <w:rPr>
        <w:rFonts w:ascii="Calibri" w:cs="Calibri" w:eastAsia="Calibri" w:hAnsi="Calibri"/>
        <w:color w:val="2B2D42"/>
        <w:sz w:val="14"/>
        <w:szCs w:val="14"/>
      </w:rPr>
      <w:t xml:space="preserve">EthicHawks Forensic Governance &amp; Compliance Consultancy</w:t>
    </w:r>
    <w:r>
      <w:rPr>
        <w:rFonts w:ascii="Calibri" w:cs="Calibri" w:eastAsia="Calibri" w:hAnsi="Calibri"/>
      </w:rPr>
      <w:t xml:space="preserve">	</w:t>
    </w:r>
    <w:r>
      <w:rPr>
        <w:rFonts w:ascii="Calibri" w:cs="Calibri" w:eastAsia="Calibri" w:hAnsi="Calibri"/>
        <w:color w:val="2B2D42"/>
        <w:sz w:val="14"/>
        <w:szCs w:val="14"/>
      </w:rPr>
      <w:t xml:space="preserve">Page </w:t>
    </w:r>
    <w:r>
      <w:rPr>
        <w:rFonts w:ascii="Calibri" w:cs="Calibri" w:eastAsia="Calibri" w:hAnsi="Calibri"/>
        <w:color w:val="2B2D42"/>
        <w:sz w:val="14"/>
        <w:szCs w:val="14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2B2D42"/>
        <w:sz w:val="14"/>
        <w:szCs w:val="14"/>
      </w:rPr>
      <w:t xml:space="preserve"> of </w:t>
    </w:r>
    <w:r>
      <w:rPr>
        <w:rFonts w:ascii="Calibri" w:cs="Calibri" w:eastAsia="Calibri" w:hAnsi="Calibri"/>
        <w:color w:val="2B2D42"/>
        <w:sz w:val="14"/>
        <w:szCs w:val="14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10440"/>
      <w:tblBorders>
        <w:top w:val="none" w:color="FFFFFF" w:sz="0"/>
        <w:left w:val="none" w:color="FFFFFF" w:sz="0"/>
        <w:bottom w:val="none" w:color="FFFFFF" w:sz="0"/>
        <w:right w:val="none" w:color="FFFFFF" w:sz="0"/>
        <w:insideH w:val="single" w:color="auto" w:sz="4"/>
        <w:insideV w:val="single" w:color="auto" w:sz="4"/>
      </w:tblBorders>
    </w:tblPr>
    <w:tblGrid>
      <w:gridCol w:w="100"/>
      <w:gridCol w:w="100"/>
    </w:tblGrid>
    <w:tr>
      <w:tc>
        <w:tcPr>
          <w:tcW w:type="dxa" w:w="70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vAlign w:val="center"/>
        </w:tcPr>
        <w:p>
          <w:pPr>
            <w:spacing w:after="0"/>
          </w:pPr>
          <w:r>
            <w:rPr>
              <w:rFonts w:ascii="Calibri" w:cs="Calibri" w:eastAsia="Calibri" w:hAnsi="Calibri"/>
              <w:b/>
              <w:bCs/>
              <w:color w:val="B01010"/>
              <w:sz w:val="34"/>
              <w:szCs w:val="34"/>
            </w:rPr>
            <w:t xml:space="preserve">ETHIC</w:t>
          </w:r>
          <w:r>
            <w:rPr>
              <w:rFonts w:ascii="Calibri" w:cs="Calibri" w:eastAsia="Calibri" w:hAnsi="Calibri"/>
              <w:b/>
              <w:bCs/>
              <w:color w:val="0D1B2A"/>
              <w:sz w:val="34"/>
              <w:szCs w:val="34"/>
            </w:rPr>
            <w:t xml:space="preserve">HAWKS</w:t>
          </w:r>
        </w:p>
        <w:p>
          <w:pPr>
            <w:spacing w:after="0"/>
          </w:pPr>
          <w:r>
            <w:rPr>
              <w:rFonts w:ascii="Calibri" w:cs="Calibri" w:eastAsia="Calibri" w:hAnsi="Calibri"/>
              <w:b/>
              <w:bCs/>
              <w:color w:val="2B2D42"/>
              <w:spacing w:val="10"/>
              <w:sz w:val="15"/>
              <w:szCs w:val="15"/>
            </w:rPr>
            <w:t xml:space="preserve">FORENSIC GOVERNANCE &amp; COMPLIANCE CONSULTANCY</w:t>
          </w:r>
        </w:p>
      </w:tc>
      <w:tc>
        <w:tcPr>
          <w:tcW w:type="dxa" w:w="344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vAlign w:val="center"/>
        </w:tcPr>
        <w:p>
          <w:pPr>
            <w:spacing w:after="0"/>
            <w:jc w:val="right"/>
          </w:pPr>
          <w:r>
            <w:rPr>
              <w:rFonts w:ascii="Calibri" w:cs="Calibri" w:eastAsia="Calibri" w:hAnsi="Calibri"/>
              <w:color w:val="2B2D42"/>
              <w:sz w:val="16"/>
              <w:szCs w:val="16"/>
            </w:rPr>
            <w:t xml:space="preserve">Cape Town, South Africa</w:t>
          </w:r>
        </w:p>
        <w:p>
          <w:pPr>
            <w:spacing w:after="0"/>
            <w:jc w:val="right"/>
          </w:pPr>
          <w:r>
            <w:rPr>
              <w:rFonts w:ascii="Calibri" w:cs="Calibri" w:eastAsia="Calibri" w:hAnsi="Calibri"/>
              <w:color w:val="2B2D42"/>
              <w:sz w:val="16"/>
              <w:szCs w:val="16"/>
            </w:rPr>
            <w:t xml:space="preserve">info@ethichawks.co.za</w:t>
          </w:r>
        </w:p>
        <w:p>
          <w:pPr>
            <w:spacing w:after="0"/>
            <w:jc w:val="right"/>
          </w:pPr>
          <w:r>
            <w:rPr>
              <w:rFonts w:ascii="Calibri" w:cs="Calibri" w:eastAsia="Calibri" w:hAnsi="Calibri"/>
              <w:color w:val="2B2D42"/>
              <w:sz w:val="16"/>
              <w:szCs w:val="16"/>
            </w:rPr>
            <w:t xml:space="preserve">069 635 1435</w:t>
          </w:r>
        </w:p>
      </w:tc>
    </w:tr>
  </w:tbl>
  <w:p>
    <w:pPr>
      <w:pBdr>
        <w:bottom w:val="single" w:color="C9A84C" w:sz="18"/>
      </w:pBdr>
      <w:spacing w:after="0" w:before="60"/>
    </w:pPr>
    <w:r>
      <w:rPr>
        <w:sz w:val="2"/>
        <w:szCs w:val="2"/>
      </w:rPr>
      <w:t xml:space="preserve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2026-07-09T11:04:39.479Z</dcterms:created>
  <dcterms:modified xsi:type="dcterms:W3CDTF">2026-07-09T11:04:39.492Z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