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 / 256C)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 / 256C)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Activar el modo de 256 caracteres:</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Activa el modo de 256 caracteres definibles (solo Superfast texto). </w:t>
            </w:r>
            <w:r>
              <w:rPr>
                <w:sz w:val="18"/>
                <w:szCs w:val="18"/>
                <w:lang w:val="en-US"/>
              </w:rPr>
              <w:t>Equivale a LOAD *256C.</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