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pPr>
        <w:pStyle w:val="Ttulo2"/>
      </w:pPr>
      <w:bookmarkStart w:id="9200" w:name="_Toc999200"/>
      <w:r>
        <w:t>13.6 Wide Screen Modes — COL80 / COL70 / COL32 Commands</w:t>
      </w:r>
      <w:bookmarkEnd w:id="9200"/>
    </w:p>
    <w:p>
      <w:pPr>
        <w:spacing w:before="80" w:after="80"/>
      </w:pPr>
      <w: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pPr>
        <w:spacing w:before="60" w:after="100"/>
      </w:pPr>
      <w:r>
        <w:rPr>
          <w:b/>
        </w:rPr>
        <w:t>Activate 80 columns (7-pixel characters):</w:t>
      </w:r>
    </w:p>
    <w:p>
      <w:pPr>
        <w:shd w:val="clear" w:color="auto" w:fill="1E1E1E"/>
        <w:spacing w:before="60" w:after="60"/>
        <w:ind w:left="720"/>
      </w:pPr>
      <w:r>
        <w:rPr>
          <w:rFonts w:ascii="Courier New" w:hAnsi="Courier New"/>
          <w:color w:val="A8D8A8"/>
          <w:sz w:val="20"/>
        </w:rPr>
        <w:t>LOAD *COL80</w:t>
      </w:r>
    </w:p>
    <w:p>
      <w:pPr>
        <w:spacing w:before="60" w:after="100"/>
      </w:pPr>
      <w:r>
        <w:rPr>
          <w:b/>
        </w:rPr>
        <w:t>Activate 70 columns (8-pixel characters):</w:t>
      </w:r>
    </w:p>
    <w:p>
      <w:pPr>
        <w:shd w:val="clear" w:color="auto" w:fill="1E1E1E"/>
        <w:spacing w:before="60" w:after="60"/>
        <w:ind w:left="720"/>
      </w:pPr>
      <w:r>
        <w:rPr>
          <w:rFonts w:ascii="Courier New" w:hAnsi="Courier New"/>
          <w:color w:val="A8D8A8"/>
          <w:sz w:val="20"/>
        </w:rPr>
        <w:t>LOAD *COL70</w:t>
      </w:r>
    </w:p>
    <w:p>
      <w:pPr>
        <w:spacing w:before="60" w:after="100"/>
      </w:pPr>
      <w:r>
        <w:rPr>
          <w:b/>
        </w:rPr>
        <w:t>Return to 32 columns, native video:</w:t>
      </w:r>
    </w:p>
    <w:p>
      <w:pPr>
        <w:shd w:val="clear" w:color="auto" w:fill="1E1E1E"/>
        <w:spacing w:before="60" w:after="60"/>
        <w:ind w:left="720"/>
      </w:pPr>
      <w:r>
        <w:rPr>
          <w:rFonts w:ascii="Courier New" w:hAnsi="Courier New"/>
          <w:color w:val="A8D8A8"/>
          <w:sz w:val="20"/>
        </w:rPr>
        <w:t>LOAD *COL32</w:t>
      </w:r>
    </w:p>
    <w:p>
      <w:pPr>
        <w:spacing w:before="80" w:after="80"/>
      </w:pPr>
      <w: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pPr>
        <w:spacing w:before="80" w:after="80"/>
      </w:pPr>
      <w:r>
        <w:t>Switching modes clears the screen (equivalent to CLS): the previous mode’s screen content is not preserved, because the width of each row in the screen area changes.</w:t>
      </w:r>
    </w:p>
    <w:p>
      <w:pPr>
        <w:spacing w:before="60" w:after="100"/>
      </w:pPr>
      <w:r>
        <w:rPr>
          <w:b/>
        </w:rPr>
        <w:t>Known limitation:</w:t>
      </w:r>
    </w:p>
    <w:p>
      <w:pPr>
        <w:spacing w:before="80" w:after="80"/>
      </w:pPr>
      <w:r>
        <w:t>The TAB command does not work correctly in the 70- and 80-column modes: internally it computes the position with an operation that is only valid for 32 columns. The rest of the printing commands (PRINT, PRINT AT, CLS, SCROLL) work normally in all three modes.</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pPr>
        <w:pStyle w:val="Ttulo2"/>
      </w:pPr>
      <w:bookmarkStart w:id="9301" w:name="_Toc999301"/>
      <w:r>
        <w:t>Alternative Screen Address (Superfast)</w:t>
      </w:r>
      <w:bookmarkEnd w:id="9301"/>
    </w:p>
    <w:p>
      <w:pPr>
        <w:spacing w:before="80" w:after="80"/>
      </w:pPr>
      <w:r>
        <w:t>The Superfast text submodes (32, 70 and 80 columns) normally take the screen address from the D_FILE system variable (16396/16397), just like native mode. The SD81 Booster lets you replace that address with another one, without touching D_FILE, via an alternative register:</w:t>
      </w:r>
    </w:p>
    <w:p>
      <w:pPr>
        <w:shd w:val="clear" w:color="auto" w:fill="1E1E1E"/>
        <w:spacing w:before="60" w:after="60"/>
        <w:ind w:left="720"/>
      </w:pPr>
      <w:r>
        <w:rPr>
          <w:rFonts w:ascii="Courier New" w:hAnsi="Courier New"/>
          <w:color w:val="A8D8A8"/>
          <w:sz w:val="20"/>
        </w:rPr>
        <w:t>POKE 2096, &lt;addr_low&gt; : REM low byte of the alternative address</w:t>
      </w:r>
    </w:p>
    <w:p>
      <w:pPr>
        <w:shd w:val="clear" w:color="auto" w:fill="1E1E1E"/>
        <w:spacing w:before="60" w:after="60"/>
        <w:ind w:left="720"/>
      </w:pPr>
      <w:r>
        <w:rPr>
          <w:rFonts w:ascii="Courier New" w:hAnsi="Courier New"/>
          <w:color w:val="A8D8A8"/>
          <w:sz w:val="20"/>
        </w:rPr>
        <w:t>POKE 2097, &lt;addr_high&gt; : REM high byte</w:t>
      </w:r>
    </w:p>
    <w:p>
      <w:pPr>
        <w:shd w:val="clear" w:color="auto" w:fill="1E1E1E"/>
        <w:spacing w:before="60" w:after="60"/>
        <w:ind w:left="720"/>
      </w:pPr>
      <w:r>
        <w:rPr>
          <w:rFonts w:ascii="Courier New" w:hAnsi="Courier New"/>
          <w:color w:val="A8D8A8"/>
          <w:sz w:val="20"/>
        </w:rPr>
        <w:t>POKE 2098, 170 : REM enables the alternative register</w:t>
      </w:r>
    </w:p>
    <w:p>
      <w:pPr>
        <w:shd w:val="clear" w:color="auto" w:fill="1E1E1E"/>
        <w:spacing w:before="60" w:after="60"/>
        <w:ind w:left="720"/>
      </w:pPr>
      <w:r>
        <w:rPr>
          <w:rFonts w:ascii="Courier New" w:hAnsi="Courier New"/>
          <w:color w:val="A8D8A8"/>
          <w:sz w:val="20"/>
        </w:rPr>
        <w:t>POKE 2098, 85 : REM disables it, back to D_FILE</w:t>
      </w:r>
    </w:p>
    <w:p>
      <w:pPr>
        <w:spacing w:before="80" w:after="80"/>
      </w:pPr>
      <w: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pPr>
        <w:spacing w:before="80" w:after="80"/>
      </w:pPr>
      <w:r>
        <w:t>This makes it possible, for example, to keep two screens in memory and switch which one is displayed without having to move D_FILE back and forth every frame.</w:t>
      </w:r>
    </w:p>
    <w:p>
      <w:pPr>
        <w:spacing w:before="60" w:after="100"/>
      </w:pPr>
      <w:r>
        <w:rPr>
          <w:b/>
        </w:rPr>
        <w:t>Important:</w:t>
      </w:r>
    </w:p>
    <w:p>
      <w:pPr>
        <w:spacing w:before="80" w:after="80"/>
      </w:pPr>
      <w: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pPr>
        <w:pStyle w:val="Ttulo2"/>
      </w:pPr>
      <w:bookmarkStart w:id="9311" w:name="_Toc999311"/>
      <w:r>
        <w:t>Alternative Attribute Table (Chroma Mode 1, Superfast)</w:t>
      </w:r>
      <w:bookmarkEnd w:id="9311"/>
    </w:p>
    <w:p>
      <w:pPr>
        <w:spacing w:before="80" w:after="80"/>
      </w:pPr>
      <w: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pPr>
        <w:shd w:val="clear" w:color="auto" w:fill="1E1E1E"/>
        <w:spacing w:before="60" w:after="60"/>
        <w:ind w:left="720"/>
      </w:pPr>
      <w:r>
        <w:rPr>
          <w:rFonts w:ascii="Courier New" w:hAnsi="Courier New"/>
          <w:color w:val="A8D8A8"/>
          <w:sz w:val="20"/>
        </w:rPr>
        <w:t>POKE 2059, &lt;base_low&gt; : REM low byte of the attribute table</w:t>
      </w:r>
    </w:p>
    <w:p>
      <w:pPr>
        <w:shd w:val="clear" w:color="auto" w:fill="1E1E1E"/>
        <w:spacing w:before="60" w:after="60"/>
        <w:ind w:left="720"/>
      </w:pPr>
      <w:r>
        <w:rPr>
          <w:rFonts w:ascii="Courier New" w:hAnsi="Courier New"/>
          <w:color w:val="A8D8A8"/>
          <w:sz w:val="20"/>
        </w:rPr>
        <w:t>POKE 2060, &lt;base_high&gt; : REM high byte</w:t>
      </w:r>
    </w:p>
    <w:p>
      <w:pPr>
        <w:shd w:val="clear" w:color="auto" w:fill="1E1E1E"/>
        <w:spacing w:before="60" w:after="60"/>
        <w:ind w:left="720"/>
      </w:pPr>
      <w:r>
        <w:rPr>
          <w:rFonts w:ascii="Courier New" w:hAnsi="Courier New"/>
          <w:color w:val="A8D8A8"/>
          <w:sz w:val="20"/>
        </w:rPr>
        <w:t>POKE 2061, 170 : REM enables the alternative table</w:t>
      </w:r>
    </w:p>
    <w:p>
      <w:pPr>
        <w:shd w:val="clear" w:color="auto" w:fill="1E1E1E"/>
        <w:spacing w:before="60" w:after="60"/>
        <w:ind w:left="720"/>
      </w:pPr>
      <w:r>
        <w:rPr>
          <w:rFonts w:ascii="Courier New" w:hAnsi="Courier New"/>
          <w:color w:val="A8D8A8"/>
          <w:sz w:val="20"/>
        </w:rPr>
        <w:t>POKE 2061, 85 : REM disables it, back to the usual behaviour</w:t>
      </w:r>
    </w:p>
    <w:p>
      <w:pPr>
        <w:spacing w:before="80" w:after="80"/>
      </w:pPr>
      <w: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pPr>
        <w:spacing w:before="80" w:after="80"/>
      </w:pPr>
      <w:r>
        <w:t>This register is independent from the one in the previous section: you can enable the alternative screen address without enabling this one, or the other way round, though normally both will be used together for full control over where each thing lives.</w:t>
      </w:r>
    </w:p>
    <w:p>
      <w:pPr>
        <w:spacing w:before="60" w:after="100"/>
      </w:pPr>
      <w:r>
        <w:rPr>
          <w:b/>
        </w:rPr>
        <w:t>Important:</w:t>
      </w:r>
    </w:p>
    <w:p>
      <w:pPr>
        <w:spacing w:before="80" w:after="80"/>
      </w:pPr>
      <w:r>
        <w:t>Just like the alternative screen address, returning to native video mode (POKE 2045,85) also disables this register automatically.</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screen address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attribute table (Chroma mode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attribute table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attribute table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