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 / 256C)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p>
      <w:pPr>
        <w:spacing w:before="60" w:after="100"/>
      </w:pPr>
      <w:r>
        <w:rPr>
          <w:b/>
        </w:rPr>
        <w:t>Teclas especiales:</w:t>
      </w:r>
    </w:p>
    <w:p>
      <w:pPr>
        <w:spacing w:before="80" w:after="80"/>
      </w:pPr>
      <w:r>
        <w:t>Las teclas SHIFT y ENTER no tienen un carácter propio que pueda escribirse dentro de la cadena de configuración, por lo que se representan mediante dos caracteres sustitutos: * para SHIFT y &lt; para ENTER.</w:t>
      </w:r>
    </w:p>
    <w:p>
      <w:pPr>
        <w:shd w:val="clear" w:color="auto" w:fill="1E1E1E"/>
        <w:spacing w:before="60" w:after="60"/>
        <w:ind w:left="720"/>
      </w:pPr>
      <w:r>
        <w:rPr>
          <w:rFonts w:ascii="Courier New" w:hAnsi="Courier New"/>
          <w:color w:val="A8D8A8"/>
          <w:sz w:val="20"/>
        </w:rPr>
        <w:t>LOAD *JOY "QAOP&lt;"</w:t>
      </w:r>
    </w:p>
    <w:p>
      <w:pPr>
        <w:spacing w:before="80" w:after="80"/>
      </w:pPr>
      <w:r>
        <w:t>En este ejemplo el botón de fuego queda asignado a la tecla ENTER.</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 / 256C)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Activar el modo de 256 caracteres:</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pPr>
        <w:pStyle w:val="Ttulo2"/>
      </w:pPr>
      <w:bookmarkStart w:id="9100" w:name="_Toc999100"/>
      <w:r>
        <w:t>13.6 Modos de pantalla ancha — Comandos COL80 / COL70 / COL32</w:t>
      </w:r>
      <w:bookmarkEnd w:id="9100"/>
    </w:p>
    <w:p>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pPr>
        <w:spacing w:before="60" w:after="100"/>
      </w:pPr>
      <w:r>
        <w:rPr>
          <w:b/>
        </w:rPr>
        <w:t>Activar 80 columnas (caracteres de 7 píxeles):</w:t>
      </w:r>
    </w:p>
    <w:p>
      <w:pPr>
        <w:shd w:val="clear" w:color="auto" w:fill="1E1E1E"/>
        <w:spacing w:before="60" w:after="60"/>
        <w:ind w:left="720"/>
      </w:pPr>
      <w:r>
        <w:rPr>
          <w:rFonts w:ascii="Courier New" w:hAnsi="Courier New"/>
          <w:color w:val="A8D8A8"/>
          <w:sz w:val="20"/>
        </w:rPr>
        <w:t>LOAD *COL80</w:t>
      </w:r>
    </w:p>
    <w:p>
      <w:pPr>
        <w:spacing w:before="60" w:after="100"/>
      </w:pPr>
      <w:r>
        <w:rPr>
          <w:b/>
        </w:rPr>
        <w:t>Activar 70 columnas (caracteres de 8 píxeles):</w:t>
      </w:r>
    </w:p>
    <w:p>
      <w:pPr>
        <w:shd w:val="clear" w:color="auto" w:fill="1E1E1E"/>
        <w:spacing w:before="60" w:after="60"/>
        <w:ind w:left="720"/>
      </w:pPr>
      <w:r>
        <w:rPr>
          <w:rFonts w:ascii="Courier New" w:hAnsi="Courier New"/>
          <w:color w:val="A8D8A8"/>
          <w:sz w:val="20"/>
        </w:rPr>
        <w:t>LOAD *COL70</w:t>
      </w:r>
    </w:p>
    <w:p>
      <w:pPr>
        <w:spacing w:before="60" w:after="100"/>
      </w:pPr>
      <w:r>
        <w:rPr>
          <w:b/>
        </w:rPr>
        <w:t>Volver a 32 columnas, vídeo nativo:</w:t>
      </w:r>
    </w:p>
    <w:p>
      <w:pPr>
        <w:shd w:val="clear" w:color="auto" w:fill="1E1E1E"/>
        <w:spacing w:before="60" w:after="60"/>
        <w:ind w:left="720"/>
      </w:pPr>
      <w:r>
        <w:rPr>
          <w:rFonts w:ascii="Courier New" w:hAnsi="Courier New"/>
          <w:color w:val="A8D8A8"/>
          <w:sz w:val="20"/>
        </w:rPr>
        <w:t>LOAD *COL32</w:t>
      </w:r>
    </w:p>
    <w:p>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pPr>
        <w:spacing w:before="80" w:after="80"/>
      </w:pPr>
      <w:r>
        <w:t>Al cambiar de modo, la pantalla se limpia (equivalente a CLS): el contenido de la pantalla del modo anterior no se conserva, porque el ancho de cada fila del área de pantalla cambia.</w:t>
      </w:r>
    </w:p>
    <w:p>
      <w:pPr>
        <w:spacing w:before="60" w:after="100"/>
      </w:pPr>
      <w:r>
        <w:rPr>
          <w:b/>
        </w:rPr>
        <w:t>Limitación conocida:</w:t>
      </w:r>
    </w:p>
    <w:p>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Activa el modo de 256 caracteres definibles (solo Superfast texto). </w:t>
            </w:r>
            <w:r>
              <w:rPr>
                <w:sz w:val="18"/>
                <w:szCs w:val="18"/>
                <w:lang w:val="en-US"/>
              </w:rPr>
              <w:t>Equivale a LOAD *256C.</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rsidR="00507529" w:rsidRDefault="00507529">
      <w:pPr>
        <w:spacing w:before="80" w:after="80"/>
      </w:pPr>
      <w:r>
        <w:t xml:space="preserve">El desplazamiento puede activarse o desactivarse por fila, para dejar fijos marcadores o puntuaciones mientras el resto de la pantalla se desplaza. Cada fila de texto (0-23) tiene un bit en uno de tres registros de 8 bits: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&lt;mapa&gt;     : REM filas 0-7 (bit0=fila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&lt;mapa&gt;     : REM filas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&lt;mapa&gt;     : REM filas 16-23</w:t>
      </w:r>
    </w:p>
    <w:p w:rsidR="00507529" w:rsidRDefault="00507529">
      <w:pPr>
        <w:spacing w:before="80" w:after="80"/>
      </w:pPr>
      <w:r>
        <w:t xml:space="preserve">Bit a 1 = esa fila se desplaza con el offset de </w:t>
      </w:r>
      <w:r>
        <w:rPr>
          <w:b/>
          <w:bCs/>
        </w:rPr>
        <w:t xml:space="preserve">LOAD *SCROLL</w:t>
      </w:r>
      <w:r>
        <w:t xml:space="preserve">; bit a 0 = esa fila se queda fija. Por defecto (tras un reset) los tres registros valen 255 (todas las filas se desplazan), igual que antes de que existiera este registro. 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rsidR="00507529" w:rsidRDefault="00507529">
      <w:pPr>
        <w:spacing w:before="80" w:after="80"/>
      </w:pPr>
      <w:r>
        <w:t xml:space="preserve">(equivalente a los tres POKE anteriores en un solo paso; cada argumento es un byte 0-255).</w:t>
      </w:r>
    </w:p>
    <w:p>
      <w:pPr>
        <w:pStyle w:val="Ttulo2"/>
      </w:pPr>
      <w:bookmarkStart w:id="9300" w:name="_Toc999300"/>
      <w:r>
        <w:t>Pantalla alternativa (Superfast)</w:t>
      </w:r>
      <w:bookmarkEnd w:id="9300"/>
    </w:p>
    <w:p>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pPr>
        <w:shd w:val="clear" w:color="auto" w:fill="1E1E1E"/>
        <w:spacing w:before="60" w:after="60"/>
        <w:ind w:left="720"/>
      </w:pPr>
      <w:r>
        <w:rPr>
          <w:rFonts w:ascii="Courier New" w:hAnsi="Courier New"/>
          <w:color w:val="A8D8A8"/>
          <w:sz w:val="20"/>
        </w:rPr>
        <w:t>POKE 2096, &lt;dir_baja&gt; : REM byte bajo de la direccion alternativa</w:t>
      </w:r>
    </w:p>
    <w:p>
      <w:pPr>
        <w:shd w:val="clear" w:color="auto" w:fill="1E1E1E"/>
        <w:spacing w:before="60" w:after="60"/>
        <w:ind w:left="720"/>
      </w:pPr>
      <w:r>
        <w:rPr>
          <w:rFonts w:ascii="Courier New" w:hAnsi="Courier New"/>
          <w:color w:val="A8D8A8"/>
          <w:sz w:val="20"/>
        </w:rPr>
        <w:t>POKE 2097, &lt;dir_alta&gt; : REM byte alto</w:t>
      </w:r>
    </w:p>
    <w:p>
      <w:pPr>
        <w:shd w:val="clear" w:color="auto" w:fill="1E1E1E"/>
        <w:spacing w:before="60" w:after="60"/>
        <w:ind w:left="720"/>
      </w:pPr>
      <w:r>
        <w:rPr>
          <w:rFonts w:ascii="Courier New" w:hAnsi="Courier New"/>
          <w:color w:val="A8D8A8"/>
          <w:sz w:val="20"/>
        </w:rPr>
        <w:t>POKE 2098, 170 : REM activa el registro alternativo</w:t>
      </w:r>
    </w:p>
    <w:p>
      <w:pPr>
        <w:shd w:val="clear" w:color="auto" w:fill="1E1E1E"/>
        <w:spacing w:before="60" w:after="60"/>
        <w:ind w:left="720"/>
      </w:pPr>
      <w:r>
        <w:rPr>
          <w:rFonts w:ascii="Courier New" w:hAnsi="Courier New"/>
          <w:color w:val="A8D8A8"/>
          <w:sz w:val="20"/>
        </w:rPr>
        <w:t>POKE 2098, 85 : REM lo desactiva, vuelve a D_FILE</w:t>
      </w:r>
    </w:p>
    <w:p>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pPr>
        <w:spacing w:before="80" w:after="80"/>
      </w:pPr>
      <w:r>
        <w:t>Esto permite, por ejemplo, mantener dos pantallas en memoria e ir alternando cuál se muestra sin necesidad de mover D_FILE de un lado a otro en cada fotograma.</w:t>
      </w:r>
    </w:p>
    <w:p>
      <w:pPr>
        <w:spacing w:before="60" w:after="100"/>
      </w:pPr>
      <w:r>
        <w:rPr>
          <w:b/>
        </w:rPr>
        <w:t>Importante:</w:t>
      </w:r>
    </w:p>
    <w:p>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pPr>
        <w:pStyle w:val="Ttulo2"/>
      </w:pPr>
      <w:bookmarkStart w:id="9310" w:name="_Toc999310"/>
      <w:r>
        <w:t>Tabla de atributos alternativa (Chroma modo 1, Superfast)</w:t>
      </w:r>
      <w:bookmarkEnd w:id="9310"/>
    </w:p>
    <w:p>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pPr>
        <w:shd w:val="clear" w:color="auto" w:fill="1E1E1E"/>
        <w:spacing w:before="60" w:after="60"/>
        <w:ind w:left="720"/>
      </w:pPr>
      <w:r>
        <w:rPr>
          <w:rFonts w:ascii="Courier New" w:hAnsi="Courier New"/>
          <w:color w:val="A8D8A8"/>
          <w:sz w:val="20"/>
        </w:rPr>
        <w:t>POKE 2059, &lt;base_baja&gt; : REM byte bajo de la tabla de atributos</w:t>
      </w:r>
    </w:p>
    <w:p>
      <w:pPr>
        <w:shd w:val="clear" w:color="auto" w:fill="1E1E1E"/>
        <w:spacing w:before="60" w:after="60"/>
        <w:ind w:left="720"/>
      </w:pPr>
      <w:r>
        <w:rPr>
          <w:rFonts w:ascii="Courier New" w:hAnsi="Courier New"/>
          <w:color w:val="A8D8A8"/>
          <w:sz w:val="20"/>
        </w:rPr>
        <w:t>POKE 2060, &lt;base_alta&gt; : REM byte alto</w:t>
      </w:r>
    </w:p>
    <w:p>
      <w:pPr>
        <w:shd w:val="clear" w:color="auto" w:fill="1E1E1E"/>
        <w:spacing w:before="60" w:after="60"/>
        <w:ind w:left="720"/>
      </w:pPr>
      <w:r>
        <w:rPr>
          <w:rFonts w:ascii="Courier New" w:hAnsi="Courier New"/>
          <w:color w:val="A8D8A8"/>
          <w:sz w:val="20"/>
        </w:rPr>
        <w:t>POKE 2061, 170 : REM activa la tabla alternativa</w:t>
      </w:r>
    </w:p>
    <w:p>
      <w:pPr>
        <w:shd w:val="clear" w:color="auto" w:fill="1E1E1E"/>
        <w:spacing w:before="60" w:after="60"/>
        <w:ind w:left="720"/>
      </w:pPr>
      <w:r>
        <w:rPr>
          <w:rFonts w:ascii="Courier New" w:hAnsi="Courier New"/>
          <w:color w:val="A8D8A8"/>
          <w:sz w:val="20"/>
        </w:rPr>
        <w:t>POKE 2061, 85 : REM la desactiva, vuelve al comportamiento de siempre</w:t>
      </w:r>
    </w:p>
    <w:p>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pPr>
        <w:spacing w:before="60" w:after="100"/>
      </w:pPr>
      <w:r>
        <w:rPr>
          <w:b/>
        </w:rPr>
        <w:t>Importante:</w:t>
      </w:r>
    </w:p>
    <w:p>
      <w:pPr>
        <w:spacing w:before="80" w:after="80"/>
      </w:pPr>
      <w:r>
        <w:t>Igual que con la dirección de pantalla alternativa, volver a vídeo nativo (POKE 2045,85) desactiva también este registro automáticamente.</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0-7 con scroll fino activo (bit0=fila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8-15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Filas 16-23 con scroll fino activo</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bajo de la direccion de pantalla alternativa (Superfast)</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alto de la direccion de pantalla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Activar / desactivar la direccion de pantalla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bajo de la tabla de atributos alternativa (Chroma modo 1)</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Byte alto de la tabla de atributos alternativa</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Activar / desactivar la tabla de atributos alternativa</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