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Solo hace falta </w:t>
      </w:r>
      <w:r>
        <w:rPr>
          <w:b/>
          <w:bCs/>
        </w:rPr>
        <w:t xml:space="preserve">la primera vez que se programa el MCU</w:t>
      </w:r>
      <w:r>
        <w:t xml:space="preserve"> (por ejemplo, un chip recién salido de fábrica), o si la configuración del RTC se corrompe --- por ejemplo por un problema con la pila de respaldo. </w:t>
      </w:r>
      <w:r>
        <w:rPr>
          <w:b/>
          <w:bCs/>
        </w:rPr>
        <w:t xml:space="preserve">Un usuario normal que actualiza un interface que ya funciona no necesita hacer esto.</w:t>
      </w:r>
    </w:p>
    <w:p w:rsidR="0026639C" w:rsidRDefault="0026639C" w:rsidP="0026639C">
      <w:pPr>
        <w:spacing w:before="80" w:after="80"/>
      </w:pPr>
      <w:r>
        <w:rPr>
          <w:b/>
          <w:bCs/>
        </w:rPr>
        <w:t xml:space="preserve">Precaución: </w:t>
      </w:r>
      <w:r>
        <w:t xml:space="preserve">Asegúrate de tener la pila de respaldo CR2032 instalada y con carga antes de realizar este procedimiento.</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