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 / 256C)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 xml:space="preserve">Sincronización de hora vía NTP:</w:t>
      </w:r>
    </w:p>
    <w:p>
      <w:pPr>
        <w:spacing w:before="60" w:after="100"/>
      </w:pPr>
      <w:r>
        <w:rPr/>
        <w:t xml:space="preserve">El módulo WiFi puede mantener en hora el reloj del interface sincronizándolo automáticamente con un servidor de hora (NTP) nada más conectarse a la red — útil si la pila del RTC se agota o simplemente para no tener que ajustar la fecha a mano.</w:t>
      </w:r>
    </w:p>
    <w:p>
      <w:pPr>
        <w:spacing w:before="60" w:after="100"/>
      </w:pPr>
      <w:r>
        <w:rPr/>
        <w:t xml:space="preserve">Para activarla, crea un archivo de texto llamado NTP.CFG en la carpeta SYS de la tarjeta microSD:</w:t>
      </w:r>
    </w:p>
    <w:p>
      <w:pPr>
        <w:shd w:val="clear" w:color="auto" w:fill="1E1E1E"/>
        <w:spacing w:before="60" w:after="60"/>
        <w:ind w:left="720"/>
      </w:pPr>
      <w:r>
        <w:rPr>
          <w:rFonts w:ascii="Courier New" w:eastAsia="Courier New" w:hAnsi="Courier New" w:cs="Courier New"/>
          <w:color w:val="A8D8A8"/>
          <w:sz w:val="20"/>
          <w:szCs w:val="20"/>
        </w:rPr>
        <w:t xml:space="preserve">SERVER=pool.ntp.org</w:t>
      </w:r>
    </w:p>
    <w:p>
      <w:pPr>
        <w:shd w:val="clear" w:color="auto" w:fill="1E1E1E"/>
        <w:spacing w:before="60" w:after="60"/>
        <w:ind w:left="720"/>
      </w:pPr>
      <w:r>
        <w:rPr>
          <w:rFonts w:ascii="Courier New" w:eastAsia="Courier New" w:hAnsi="Courier New" w:cs="Courier New"/>
          <w:color w:val="A8D8A8"/>
          <w:sz w:val="20"/>
          <w:szCs w:val="20"/>
        </w:rPr>
        <w:t xml:space="preserve">MODE=SERVER</w:t>
      </w:r>
    </w:p>
    <w:p>
      <w:pPr>
        <w:shd w:val="clear" w:color="auto" w:fill="1E1E1E"/>
        <w:spacing w:before="60" w:after="60"/>
        <w:ind w:left="720"/>
      </w:pPr>
      <w:r>
        <w:rPr>
          <w:rFonts w:ascii="Courier New" w:eastAsia="Courier New" w:hAnsi="Courier New" w:cs="Courier New"/>
          <w:color w:val="A8D8A8"/>
          <w:sz w:val="20"/>
          <w:szCs w:val="20"/>
        </w:rPr>
        <w:t xml:space="preserve">UTCOFFSET=1</w:t>
      </w:r>
    </w:p>
    <w:p>
      <w:pPr>
        <w:shd w:val="clear" w:color="auto" w:fill="1E1E1E"/>
        <w:spacing w:before="60" w:after="60"/>
        <w:ind w:left="720"/>
      </w:pPr>
      <w:r>
        <w:rPr>
          <w:rFonts w:ascii="Courier New" w:eastAsia="Courier New" w:hAnsi="Courier New" w:cs="Courier New"/>
          <w:color w:val="A8D8A8"/>
          <w:sz w:val="20"/>
          <w:szCs w:val="20"/>
        </w:rPr>
        <w:t xml:space="preserve">DST=1</w:t>
      </w:r>
    </w:p>
    <w:p>
      <w:pPr>
        <w:spacing w:before="60" w:after="100"/>
      </w:pPr>
      <w:r>
        <w:rPr/>
        <w:t xml:space="preserve">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pPr>
        <w:spacing w:before="60" w:after="100"/>
      </w:pPr>
      <w:r>
        <w:rPr/>
        <w:t xml:space="preserve">También puedes editar esta configuración, y forzar una sincronización inmediata, desde la propia página web del módulo (enlace "NTP time settings" en la portada del servidor de archivos).</w:t>
      </w:r>
    </w:p>
    <w:p>
      <w:pPr>
        <w:spacing w:before="60" w:after="100"/>
      </w:pPr>
      <w:r>
        <w:rPr>
          <w:b/>
          <w:bCs/>
        </w:rPr>
        <w:t xml:space="preserve">Desde BASIC, sin necesidad de usar la web:</w:t>
      </w:r>
    </w:p>
    <w:p>
      <w:pPr>
        <w:pStyle w:val="Prrafodelista"/>
        <w:numPr>
          <w:ilvl w:val="0"/>
          <w:numId w:val="2"/>
        </w:numPr>
        <w:spacing w:before="40" w:after="40"/>
      </w:pPr>
      <w:r>
        <w:t xml:space="preserve">LOAD *NTP — fuerza una sincronización inmediata.</w:t>
      </w:r>
    </w:p>
    <w:p>
      <w:pPr>
        <w:pStyle w:val="Prrafodelista"/>
        <w:numPr>
          <w:ilvl w:val="0"/>
          <w:numId w:val="2"/>
        </w:numPr>
        <w:spacing w:before="40" w:after="40"/>
      </w:pPr>
      <w:r>
        <w:t xml:space="preserve">LOAD *NTP="servidor" — cambia el servidor NTP.</w:t>
      </w:r>
    </w:p>
    <w:p>
      <w:pPr>
        <w:pStyle w:val="Prrafodelista"/>
        <w:numPr>
          <w:ilvl w:val="0"/>
          <w:numId w:val="2"/>
        </w:numPr>
        <w:spacing w:before="40" w:after="40"/>
      </w:pPr>
      <w:r>
        <w:t xml:space="preserve">LOAD *NTP +n / LOAD *NTP -n — ajusta el desfase horario UTC, en horas.</w:t>
      </w:r>
    </w:p>
    <w:p>
      <w:pPr>
        <w:pStyle w:val="Prrafodelista"/>
        <w:numPr>
          <w:ilvl w:val="0"/>
          <w:numId w:val="2"/>
        </w:numPr>
        <w:spacing w:before="40" w:after="40"/>
      </w:pPr>
      <w:r>
        <w:t xml:space="preserve">LOAD *SUMMER / LOAD *SUMMER STOP — activa o desactiva el horario de verano.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 xml:space="preserve">La sincronización solo se realiza una vez, al arrancar o conectar a la red — no se repite periódicamente. Si no hay red disponible o el servidor no responde, el reloj se queda tal cual estaba.</w:t>
            </w:r>
          </w:p>
        </w:tc>
      </w:tr>
    </w:tbl>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rsidR="0026639C" w:rsidRDefault="0026639C" w:rsidP="0026639C">
      <w:pPr>
        <w:spacing w:before="80" w:after="80"/>
      </w:pPr>
      <w:r>
        <w:rPr>
          <w:b/>
          <w:bCs/>
        </w:rPr>
        <w:t xml:space="preserve">Programación inicial / de recuperación (vía USB):</w:t>
      </w:r>
    </w:p>
    <w:p w:rsidR="0026639C" w:rsidRDefault="0026639C" w:rsidP="0026639C">
      <w:pPr>
        <w:spacing w:before="80" w:after="80"/>
      </w:pPr>
      <w:r>
        <w:t xml:space="preserve">El módulo necesita programarse por USB </w:t>
      </w:r>
      <w:r>
        <w:rPr>
          <w:b/>
          <w:bCs/>
        </w:rPr>
        <w:t xml:space="preserve">la primera vez</w:t>
      </w:r>
      <w:r>
        <w:t xml:space="preserve"> (o si deja de responder y no se puede usar la actualización por SD de arriba). A partir de ahí, todas las actualizaciones posteriores pueden hacerse por tarjeta SD.</w:t>
      </w:r>
    </w:p>
    <w:p w:rsidR="0026639C" w:rsidRDefault="0026639C" w:rsidP="0026639C">
      <w:pPr>
        <w:spacing w:before="80" w:after="80"/>
      </w:pPr>
      <w:r>
        <w:t xml:space="preserve">Requiere el </w:t>
      </w:r>
      <w:r>
        <w:rPr>
          <w:b/>
          <w:bCs/>
        </w:rPr>
        <w:t xml:space="preserve">IDE de Arduino</w:t>
      </w:r>
      <w:r>
        <w:t xml:space="preserve"> con el soporte de placas ESP32 instalado, seleccionando la placa </w:t>
      </w:r>
      <w:r>
        <w:rPr>
          <w:b/>
          <w:bCs/>
        </w:rPr>
        <w:t xml:space="preserve">ESP32C3 Dev Module</w:t>
      </w:r>
      <w:r>
        <w:t xml:space="preserve">. Los ajustes exactos de la placa (velocidad de subida, tamaño de flash, etc.) están documentados en </w:t>
      </w:r>
      <w:r>
        <w:rPr>
          <w:b/>
          <w:bCs/>
        </w:rPr>
        <w:t xml:space="preserve">FIRMWARE/README_update.md</w:t>
      </w:r>
      <w:r>
        <w:t xml:space="preserve">, dentro del repositorio del proyecto.</w:t>
      </w:r>
    </w:p>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 / 256C)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rsidR="00507529" w:rsidRDefault="00000000">
      <w:pPr>
        <w:spacing w:before="60" w:after="100"/>
      </w:pPr>
      <w:r>
        <w:rPr>
          <w:b/>
          <w:bCs/>
        </w:rPr>
        <w:t xml:space="preserve">Activar el modo de 256 caracteres:</w:t>
      </w:r>
    </w:p>
    <w:p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LOAD *256C</w:t>
      </w:r>
    </w:p>
    <w:p w:rsidR="00507529" w:rsidRDefault="00507529">
      <w:pPr>
        <w:spacing w:before="80" w:after="80"/>
      </w:pPr>
      <w:r>
        <w:t xml:space="preserve">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Activa el modo de 256 caracteres definibles (solo Superfast texto). </w:t>
            </w:r>
            <w:r>
              <w:rPr>
                <w:sz w:val="18"/>
                <w:szCs w:val="18"/>
                <w:lang w:val="en-US"/>
              </w:rPr>
              <w:t>Equivale a LOAD *256C.</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rsidR="0026639C" w:rsidRDefault="0026639C" w:rsidP="0026639C">
      <w:pPr>
        <w:spacing w:before="80" w:after="80"/>
      </w:pPr>
      <w:r>
        <w:rPr>
          <w:b/>
          <w:bCs/>
        </w:rPr>
        <w:t xml:space="preserve">Inicialización del RTC:</w:t>
      </w:r>
    </w:p>
    <w:p w:rsidR="0026639C" w:rsidRDefault="0026639C" w:rsidP="0026639C">
      <w:pPr>
        <w:spacing w:before="80" w:after="80"/>
      </w:pPr>
      <w:r>
        <w:t xml:space="preserve">Solo hace falta </w:t>
      </w:r>
      <w:r>
        <w:rPr>
          <w:b/>
          <w:bCs/>
        </w:rPr>
        <w:t xml:space="preserve">la primera vez que se programa el MCU</w:t>
      </w:r>
      <w:r>
        <w:t xml:space="preserve"> (por ejemplo, un chip recién salido de fábrica), o si la configuración del RTC se corrompe --- por ejemplo por un problema con la pila de respaldo. </w:t>
      </w:r>
      <w:r>
        <w:rPr>
          <w:b/>
          <w:bCs/>
        </w:rPr>
        <w:t xml:space="preserve">Un usuario normal que actualiza un interface que ya funciona no necesita hacer esto.</w:t>
      </w:r>
    </w:p>
    <w:p w:rsidR="0026639C" w:rsidRDefault="0026639C" w:rsidP="0026639C">
      <w:pPr>
        <w:spacing w:before="80" w:after="80"/>
      </w:pPr>
      <w:r>
        <w:rPr>
          <w:b/>
          <w:bCs/>
        </w:rPr>
        <w:t xml:space="preserve">Precaución: </w:t>
      </w:r>
      <w:r>
        <w:t xml:space="preserve">Asegúrate de tener la pila de respaldo CR2032 instalada y con carga antes de realizar este procedimiento.</w:t>
      </w:r>
    </w:p>
    <w:p w:rsidR="0026639C" w:rsidRDefault="0026639C" w:rsidP="0026639C">
      <w:pPr>
        <w:spacing w:before="40" w:after="40"/>
      </w:pPr>
      <w:r>
        <w:t xml:space="preserve">1. Quita tensión al interface.</w:t>
      </w:r>
    </w:p>
    <w:p w:rsidR="0026639C" w:rsidRDefault="0026639C" w:rsidP="0026639C">
      <w:pPr>
        <w:spacing w:before="40" w:after="40"/>
      </w:pPr>
      <w:r>
        <w:t xml:space="preserve">2. Mantén pulsado el botón Quick Silva (parte izquierda del interface — el segundo pulsador empezando por arriba, es decir, el más cercano al usuario).</w:t>
      </w:r>
    </w:p>
    <w:p w:rsidR="0026639C" w:rsidRDefault="0026639C" w:rsidP="0026639C">
      <w:pPr>
        <w:spacing w:before="40" w:after="40"/>
      </w:pPr>
      <w:r>
        <w:t xml:space="preserve">3. Da tensión al interface mientras mantienes pulsado el botón, durante al menos 5 segundos.</w:t>
      </w:r>
    </w:p>
    <w:p w:rsidR="0026639C" w:rsidRDefault="0026639C" w:rsidP="0026639C">
      <w:pPr>
        <w:spacing w:before="40" w:after="40"/>
      </w:pPr>
      <w:r>
        <w:t xml:space="preserve">4. Suelta el botón. El LED STAT se enciende en amarillo fijo durante medio segundo, luego en azul fijo durante medio segundo y, si todo va bien, el interface continúa con el proceso normal de arranque hasta que el LED STAT se pone verde fijo.</w:t>
      </w:r>
    </w:p>
    <w:p w:rsidR="0026639C" w:rsidRDefault="0026639C" w:rsidP="0026639C">
      <w:pPr>
        <w:spacing w:before="80" w:after="80"/>
      </w:pPr>
      <w:r>
        <w:t xml:space="preserve">La fecha y la hora quedan fijadas a un valor del año 2025, que después puedes actualizar con </w:t>
      </w:r>
      <w:r>
        <w:rPr>
          <w:b/>
          <w:bCs/>
        </w:rPr>
        <w:t xml:space="preserve">LOAD *RTC</w:t>
      </w:r>
      <w:r>
        <w:t xml:space="preserve"> desde el ZX81.</w:t>
      </w: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rsidR="0026639C" w:rsidRDefault="0026639C" w:rsidP="0026639C">
      <w:pPr>
        <w:spacing w:before="80" w:after="80"/>
      </w:pPr>
      <w:r>
        <w:t xml:space="preserve">Verifica la versión instalada con:</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&lt;color&gt;,&lt;modo&gt; : REM color = &lt;color&gt; (0-15), modo Chroma = &lt;modo&gt;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 </w:t>
      </w:r>
      <w:r>
        <w:rPr>
          <w:b/>
          <w:bCs/>
        </w:rPr>
        <w:t xml:space="preserve">&lt;modo&gt;</w:t>
      </w:r>
      <w:r>
        <w:t xml:space="preserve"> es opcional (0 = tabla de color por código de carácter, 1 = fichero de atributos; 0 si se omite). El modo 1 solo está implementado por hardware en los submodos Superfast: en modo nativo (sin Superfast) no tiene efecto real.</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1A2B3C10" w14:textId="77777777" w:rsidR="00507529" w:rsidRDefault="00000000">
      <w:pPr>
        <w:pStyle w:val="Ttulo2"/>
      </w:pPr>
      <w:bookmarkStart w:id="9001" w:name="_Toc234769911"/>
      <w:r>
        <w:t>Scroll horizontal fino (Superfast)</w:t>
      </w:r>
      <w:bookmarkEnd w:id="9001"/>
    </w:p>
    <w:p w:rsidR="00507529" w:rsidRDefault="00507529">
      <w:pPr>
        <w:spacing w:before="80" w:after="80"/>
      </w:pPr>
      <w:r>
        <w:t xml:space="preserve">Los tres submodos Superfast admiten un desplazamiento horizontal fino de 0 a 7 píxeles, que adelanta la búsqueda de carácter/atributo/píxel esa cantidad de píxeles en cada fila:</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offset de scroll fino, 0-7 pixeles</w:t>
      </w:r>
    </w:p>
    <w:p w:rsidR="00507529" w:rsidRDefault="00507529">
      <w:pPr>
        <w:spacing w:before="80" w:after="80"/>
      </w:pPr>
      <w:r>
        <w:t xml:space="preserve">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equivalente a POKE 2090</w:t>
      </w:r>
    </w:p>
    <w:p w:rsidR="00507529" w:rsidRDefault="00507529">
      <w:pPr>
        <w:spacing w:before="80" w:after="80"/>
      </w:pPr>
      <w:r>
        <w:t xml:space="preserve">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rsidR="00507529" w:rsidRDefault="00507529">
      <w:pPr>
        <w:spacing w:before="80" w:after="80"/>
      </w:pPr>
      <w:r>
        <w:t xml:space="preserve">El desplazamiento puede activarse o desactivarse por fila, para dejar fijos marcadores o puntuaciones mientras el resto de la pantalla se desplaza. Cada fila de texto (0-23) tiene un bit en uno de tres registros de 8 bits: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&lt;mapa&gt;     : REM filas 0-7 (bit0=fila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&lt;mapa&gt;     : REM filas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&lt;mapa&gt;     : REM filas 16-23</w:t>
      </w:r>
    </w:p>
    <w:p w:rsidR="00507529" w:rsidRDefault="00507529">
      <w:pPr>
        <w:spacing w:before="80" w:after="80"/>
      </w:pPr>
      <w:r>
        <w:t xml:space="preserve">Bit a 1 = esa fila se desplaza con el offset de </w:t>
      </w:r>
      <w:r>
        <w:rPr>
          <w:b/>
          <w:bCs/>
        </w:rPr>
        <w:t xml:space="preserve">LOAD *SCROLL</w:t>
      </w:r>
      <w:r>
        <w:t xml:space="preserve">; bit a 0 = esa fila se queda fija. Por defecto (tras un reset) los tres registros valen 255 (todas las filas se desplazan), igual que antes de que existiera este registro. 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rsidR="00507529" w:rsidRDefault="00507529">
      <w:pPr>
        <w:spacing w:before="80" w:after="80"/>
      </w:pPr>
      <w:r>
        <w:t xml:space="preserve">(equivalente a los tres POKE anteriores en un solo paso; cada argumento es un byte 0-255).</w:t>
      </w: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Scroll horizontal fino Superfast (0-7 pixeles)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0-7 con scroll fino activo (bit0=fila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8-15 con scroll fino activo</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16-23 con scroll fino activo</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10000001" w14:textId="77777777" w:rsidR="00507529" w:rsidRDefault="00000000">
      <w:pPr>
        <w:pStyle w:val="Ttulo1"/>
        <w:pBdr>
          <w:bottom w:val="single" w:sz="8" w:space="4" w:color="1A3C6E"/>
        </w:pBdr>
      </w:pPr>
      <w:bookmarkStart w:id="1000" w:name="_Toc900010000"/>
      <w:r>
        <w:t>Apéndice H — Sprites por hardware</w:t>
      </w:r>
      <w:bookmarkEnd w:id="1000"/>
    </w:p>
    <w:p w14:paraId="10000002" w14:textId="77777777" w:rsidR="00507529" w:rsidRDefault="00000000">
      <w:pPr>
        <w:spacing w:before="80" w:after="80"/>
      </w:pPr>
      <w:r>
        <w:t xml:space="preserve">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10000003" w14:textId="77777777" w:rsidR="00507529" w:rsidRDefault="00000000">
      <w:pPr>
        <w:pStyle w:val="Ttulo2"/>
      </w:pPr>
      <w:bookmarkStart w:id="1001" w:name="_Toc900010001"/>
      <w:r>
        <w:t>Sistema de coordenadas</w:t>
      </w:r>
      <w:bookmarkEnd w:id="1001"/>
    </w:p>
    <w:p w14:paraId="10000004" w14:textId="77777777" w:rsidR="00507529" w:rsidRDefault="00000000">
      <w:pPr>
        <w:spacing w:before="80" w:after="80"/>
      </w:pPr>
      <w:r>
        <w:t xml:space="preserve">La posición de cada sprite se expresa en un sistema de coordenadas desplazado 32 píxeles respecto a la pantalla, para que un sprite pueda entrar y salir por cualquier borde con un recorte limpio en vez de reaparecer bruscamente por el lado opuesto:</w:t>
      </w:r>
    </w:p>
    <w:p w14:paraId="1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coordenada de sprite 32  =  pixel 0 de pantalla</w:t>
      </w:r>
    </w:p>
    <w:p w14:paraId="1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fuera por la izquierda, 256 visibles, 32 por la derecha)</w:t>
      </w:r>
    </w:p>
    <w:p w14:paraId="1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fuera por arriba,      192 visibles, 32 por abajo)</w:t>
      </w:r>
    </w:p>
    <w:p w14:paraId="10000008" w14:textId="77777777" w:rsidR="00507529" w:rsidRDefault="00000000">
      <w:pPr>
        <w:spacing w:before="80" w:after="80"/>
      </w:pPr>
      <w:r>
        <w:t xml:space="preserve">Cualquier píxel del sprite que caiga fuera del área visible real de la pantalla (0,0)-(255,191) sencillamente no se dibuja. Por eso X necesita 9 bits (dos POKEs: parte baja y parte alta) mientras que Y cabe en un solo byte.</w:t>
      </w:r>
    </w:p>
    <w:p w14:paraId="10000009" w14:textId="77777777" w:rsidR="00507529" w:rsidRDefault="00000000">
      <w:pPr>
        <w:pStyle w:val="Ttulo2"/>
      </w:pPr>
      <w:bookmarkStart w:id="1002" w:name="_Toc900010002"/>
      <w:r>
        <w:t>Mapa de direcciones (POKE 2100-2128)</w:t>
      </w:r>
      <w:bookmarkEnd w:id="1002"/>
    </w:p>
    <w:p w14:paraId="1000000A" w14:textId="77777777" w:rsidR="00507529" w:rsidRDefault="00000000">
      <w:pPr>
        <w:spacing w:before="80" w:after="80"/>
      </w:pPr>
      <w:r>
        <w:t xml:space="preserve">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1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C" w14:textId="77777777" w:rsidR="00507529" w:rsidRDefault="00000000">
            <w:r>
              <w:rPr>
                <w:b/>
                <w:bCs/>
                <w:color w:val="FFFFFF"/>
              </w:rPr>
              <w:t xml:space="preserve">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D" w14:textId="77777777" w:rsidR="00507529" w:rsidRDefault="00000000">
            <w:r>
              <w:rPr>
                <w:b/>
                <w:bCs/>
                <w:color w:val="FFFFFF"/>
              </w:rPr>
              <w:t xml:space="preserve">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E" w14:textId="77777777" w:rsidR="00507529" w:rsidRDefault="00000000">
            <w:r>
              <w:rPr>
                <w:b/>
                <w:bCs/>
                <w:color w:val="FFFFFF"/>
              </w:rPr>
              <w:t xml:space="preserve">Función</w:t>
            </w:r>
          </w:p>
        </w:tc>
      </w:tr>
      <w:tr w:rsidR="00507529" w14:paraId="1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2" w14:textId="77777777" w:rsidR="00507529" w:rsidRDefault="00000000">
            <w:r>
              <w:t xml:space="preserve">Selecciona el sprite activo. Las escrituras siguientes afectan a este sprite.</w:t>
            </w:r>
          </w:p>
        </w:tc>
      </w:tr>
      <w:tr w:rsidR="00507529" w14:paraId="1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6" w14:textId="77777777" w:rsidR="00507529" w:rsidRDefault="00000000">
            <w:r>
              <w:t xml:space="preserve">Activa (1) o desactiva (0) el sprite seleccionado.</w:t>
            </w:r>
          </w:p>
        </w:tc>
      </w:tr>
      <w:tr w:rsidR="00507529" w14:paraId="1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A" w14:textId="77777777" w:rsidR="00507529" w:rsidRDefault="00000000">
            <w:r>
              <w:t xml:space="preserve">Coordenada X, 8 bits bajos.</w:t>
            </w:r>
          </w:p>
        </w:tc>
      </w:tr>
      <w:tr w:rsidR="00507529" w14:paraId="1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E" w14:textId="77777777" w:rsidR="00507529" w:rsidRDefault="00000000">
            <w:r>
              <w:t xml:space="preserve">Coordenada X, bit 8 (rango completo 0-318).</w:t>
            </w:r>
          </w:p>
        </w:tc>
      </w:tr>
      <w:tr w:rsidR="00507529" w14:paraId="1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2" w14:textId="77777777" w:rsidR="00507529" w:rsidRDefault="00000000">
            <w:r>
              <w:t xml:space="preserve">Coordenada Y (32 = primera línea visible).</w:t>
            </w:r>
          </w:p>
        </w:tc>
      </w:tr>
      <w:tr w:rsidR="00507529" w14:paraId="1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6" w14:textId="77777777" w:rsidR="00507529" w:rsidRDefault="00000000">
            <w:r>
              <w:t xml:space="preserve">Color de cada una de las 8 filas: tinta×16+papel (0-15 cada uno).</w:t>
            </w:r>
          </w:p>
        </w:tc>
      </w:tr>
      <w:tr w:rsidR="00507529" w14:paraId="1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A" w14:textId="77777777" w:rsidR="00507529" w:rsidRDefault="00000000">
            <w:r>
              <w:t xml:space="preserve">Patrón de píxel de cada una de las 8 filas.</w:t>
            </w:r>
          </w:p>
        </w:tc>
      </w:tr>
      <w:tr w:rsidR="00507529" w14:paraId="1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E" w14:textId="77777777" w:rsidR="00507529" w:rsidRDefault="00000000">
            <w:r>
              <w:t xml:space="preserve">Máscara de transparencia de cada una de las 8 filas.</w:t>
            </w:r>
          </w:p>
        </w:tc>
      </w:tr>
    </w:tbl>
    <w:p w14:paraId="1000002F" w14:textId="77777777" w:rsidR="00507529" w:rsidRDefault="00507529">
      <w:pPr>
        <w:spacing w:before="80" w:after="80"/>
      </w:pPr>
    </w:p>
    <w:p w14:paraId="10000030" w14:textId="77777777" w:rsidR="00507529" w:rsidRDefault="00000000">
      <w:pPr>
        <w:pStyle w:val="Ttulo2"/>
      </w:pPr>
      <w:bookmarkStart w:id="1003" w:name="_Toc900010003"/>
      <w:r>
        <w:t>Cómo se pinta cada píxel</w:t>
      </w:r>
      <w:bookmarkEnd w:id="1003"/>
    </w:p>
    <w:p w14:paraId="10000031" w14:textId="77777777" w:rsidR="00507529" w:rsidRDefault="00000000">
      <w:pPr>
        <w:spacing w:before="80" w:after="80"/>
      </w:pPr>
      <w:r>
        <w:t xml:space="preserve">Para cada píxel del sprite se combinan tres bits, uno de cada matriz en la misma fila y columna:</w:t>
      </w:r>
    </w:p>
    <w:p w14:paraId="10000032" w14:textId="77777777" w:rsidR="00507529" w:rsidRDefault="00000000">
      <w:pPr>
        <w:spacing w:before="80" w:after="80"/>
      </w:pPr>
      <w:r>
        <w:rPr>
          <w:b/>
          <w:bCs/>
        </w:rPr>
        <w:t xml:space="preserve">1. Máscara — </w:t>
      </w:r>
      <w:r>
        <w:t xml:space="preserve">si el bit es 0, ese punto es transparente y se ve lo que hay debajo (fondo, texto, otro sprite de menor prioridad). Si es 1, el sprite pinta algo ahí.</w:t>
      </w:r>
    </w:p>
    <w:p w14:paraId="10000033" w14:textId="77777777" w:rsidR="00507529" w:rsidRDefault="00000000">
      <w:pPr>
        <w:spacing w:before="80" w:after="80"/>
      </w:pPr>
      <w:r>
        <w:rPr>
          <w:b/>
          <w:bCs/>
        </w:rPr>
        <w:t xml:space="preserve">2. Dato de píxel — </w:t>
      </w:r>
      <w:r>
        <w:t xml:space="preserve">solo importa si la máscara es 1: bit=1 usa la tinta de esa fila, bit=0 usa el papel de esa fila.</w:t>
      </w:r>
    </w:p>
    <w:p w14:paraId="10000034" w14:textId="77777777" w:rsidR="00507529" w:rsidRDefault="00000000">
      <w:pPr>
        <w:spacing w:before="80" w:after="80"/>
      </w:pPr>
      <w:r>
        <w:t xml:space="preserve">Como el color se define fila a fila (no un único color por sprite), un mismo sprite puede combinar varios colores — por ejemplo, una bola con bandas de color distintas en cada línea.</w:t>
      </w:r>
    </w:p>
    <w:p w14:paraId="10000035" w14:textId="77777777" w:rsidR="00507529" w:rsidRDefault="00000000">
      <w:pPr>
        <w:pStyle w:val="Ttulo2"/>
      </w:pPr>
      <w:bookmarkStart w:id="1004" w:name="_Toc900010004"/>
      <w:r>
        <w:t>Formato de color</w:t>
      </w:r>
      <w:bookmarkEnd w:id="1004"/>
    </w:p>
    <w:p w14:paraId="10000036" w14:textId="77777777" w:rsidR="00507529" w:rsidRDefault="00000000">
      <w:pPr>
        <w:spacing w:before="80" w:after="80"/>
      </w:pPr>
      <w:r>
        <w:t xml:space="preserve">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0000037" w14:textId="77777777" w:rsidR="00507529" w:rsidRDefault="00000000">
      <w:pPr>
        <w:pStyle w:val="Ttulo2"/>
      </w:pPr>
      <w:bookmarkStart w:id="1005" w:name="_Toc900010005"/>
      <w:r>
        <w:t>Prioridad entre sprites solapados</w:t>
      </w:r>
      <w:bookmarkEnd w:id="1005"/>
    </w:p>
    <w:p w14:paraId="10000038" w14:textId="77777777" w:rsidR="00507529" w:rsidRDefault="00000000">
      <w:pPr>
        <w:spacing w:before="80" w:after="80"/>
      </w:pPr>
      <w:r>
        <w:t xml:space="preserve">Si en un mismo píxel hay más de un sprite activo, gana el de índice más alto (el sprite 31 tapa al 0). No hay ningún otro control de orden de dibujado aparte del número de sprite.</w:t>
      </w:r>
    </w:p>
    <w:p w14:paraId="10000039" w14:textId="77777777" w:rsidR="00507529" w:rsidRDefault="00000000">
      <w:pPr>
        <w:pStyle w:val="Ttulo2"/>
      </w:pPr>
      <w:bookmarkStart w:id="1006" w:name="_Toc900010006"/>
      <w:r>
        <w:t>Comandos BASIC</w:t>
      </w:r>
      <w:bookmarkEnd w:id="1006"/>
    </w:p>
    <w:p w14:paraId="1000003A" w14:textId="77777777" w:rsidR="00507529" w:rsidRDefault="00000000">
      <w:pPr>
        <w:spacing w:before="80" w:after="80"/>
      </w:pPr>
      <w:r>
        <w:rPr>
          <w:b/>
          <w:bCs/>
        </w:rPr>
        <w:t xml:space="preserve">LOAD *SPRITE &lt;n&gt;,&lt;x&gt;,&lt;y&gt;</w:t>
      </w:r>
      <w:r>
        <w:t xml:space="preserve"> — selecciona el sprite &lt;n&gt; (0-31), fija su posición y lo activa, en un solo paso.</w:t>
      </w:r>
    </w:p>
    <w:p w14:paraId="1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1000003C" w14:textId="77777777" w:rsidR="00507529" w:rsidRDefault="00000000">
      <w:pPr>
        <w:spacing w:before="80" w:after="80"/>
      </w:pPr>
      <w:r>
        <w:rPr>
          <w:b/>
          <w:bCs/>
        </w:rPr>
        <w:t xml:space="preserve">LOAD *SPRITE &lt;n&gt; STOP</w:t>
      </w:r>
      <w:r>
        <w:t xml:space="preserve"> — oculta el sprite &lt;n&gt; sin tocar su posición ni sus datos gráficos.</w:t>
      </w:r>
    </w:p>
    <w:p w14:paraId="1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1000003E" w14:textId="77777777" w:rsidR="00507529" w:rsidRDefault="00000000">
      <w:pPr>
        <w:spacing w:before="80" w:after="80"/>
      </w:pPr>
      <w:r>
        <w:rPr>
          <w:b/>
          <w:bCs/>
        </w:rPr>
        <w:t xml:space="preserve">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1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1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1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10000042" w14:textId="77777777" w:rsidR="00507529" w:rsidRDefault="00000000">
      <w:pPr>
        <w:spacing w:before="80" w:after="80"/>
      </w:pPr>
      <w:r>
        <w:t xml:space="preserve">Se usan 16 caracteres hex en vez de un único bloque de 48 (color+píxel+máscara juntos) precisamente para reducir el riesgo de error al escribir una cadena tan larga a mano.</w:t>
      </w:r>
    </w:p>
    <w:p w14:paraId="10000043" w14:textId="77777777" w:rsidR="00507529" w:rsidRDefault="00000000">
      <w:pPr>
        <w:pStyle w:val="Ttulo2"/>
      </w:pPr>
      <w:bookmarkStart w:id="1007" w:name="_Toc900010007"/>
      <w:r>
        <w:t>Capacidad</w:t>
      </w:r>
      <w:bookmarkEnd w:id="1007"/>
    </w:p>
    <w:p w14:paraId="10000044" w14:textId="77777777" w:rsidR="00507529" w:rsidRDefault="00000000">
      <w:pPr>
        <w:spacing w:before="80" w:after="80"/>
      </w:pPr>
      <w:r>
        <w:t xml:space="preserve">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